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48"/>
          <w:szCs w:val="48"/>
        </w:rPr>
        <w:t xml:space="preserve">Schaarste en economisch denken — Voorkennis</w:t>
      </w:r>
    </w:p>
    <w:p>
      <w:pPr>
        <w:spacing w:after="40"/>
        <w:jc w:val="center"/>
      </w:pPr>
      <w:r>
        <w:rPr>
          <w:rFonts w:ascii="Arial" w:cs="Arial" w:eastAsia="Arial" w:hAnsi="Arial"/>
          <w:color w:val="718096"/>
          <w:sz w:val="26"/>
          <w:szCs w:val="26"/>
        </w:rPr>
        <w:t xml:space="preserve">Wat moet je al kunnen voordat je aan deze paragraaf begint?</w:t>
      </w:r>
    </w:p>
    <w:p>
      <w:pPr>
        <w:spacing w:after="80"/>
      </w:pPr>
    </w:p>
    <w:p>
      <w:pPr>
        <w:spacing w:after="120"/>
      </w:pPr>
      <w:r>
        <w:rPr>
          <w:rFonts w:ascii="Arial" w:cs="Arial" w:eastAsia="Arial" w:hAnsi="Arial"/>
          <w:i/>
          <w:iCs/>
          <w:color w:val="718096"/>
          <w:sz w:val="22"/>
          <w:szCs w:val="22"/>
        </w:rPr>
        <w:t xml:space="preserve">Dit is de eerste paragraaf van het vak economie, dus de voorkennis blijft beperkt tot wat je al uit de onderbouw kent. We kijken naar drie bouwsteentjes: wat eenvoudig rekenwerk met geldbedragen, het lezen van een staafdiagram, en je eigen gevoel voor kiezen als je iets beperkt hebt (tijd, geld, ruimte). Meer heb je niet nodig om aan §1.1.1 te beginnen.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Wiskundig</w:t>
            </w:r>
          </w:p>
        </w:tc>
        <w:tc>
          <w:tcPr>
            <w:tcW w:type="dxa" w:w="3008"/>
            <w:tcBorders>
              <w:top w:val="single" w:color="E67E22" w:sz="6"/>
              <w:left w:val="single" w:color="FEF5E7" w:sz="1"/>
              <w:bottom w:val="single" w:color="FEF5E7" w:sz="1"/>
              <w:right w:val="single" w:color="FEF5E7" w:sz="1"/>
            </w:tcBorders>
            <w:shd w:fill="FEF5E7" w:val="clear"/>
            <w:tcMar>
              <w:top w:type="dxa" w:w="80"/>
              <w:left w:type="dxa" w:w="100"/>
              <w:bottom w:type="dxa" w:w="80"/>
              <w:right w:type="dxa" w:w="100"/>
            </w:tcMar>
          </w:tcPr>
          <w:p>
            <w:pPr>
              <w:jc w:val="center"/>
            </w:pPr>
            <w:r>
              <w:rPr>
                <w:rFonts w:ascii="Arial" w:cs="Arial" w:eastAsia="Arial" w:hAnsi="Arial"/>
                <w:b/>
                <w:bCs/>
                <w:color w:val="E67E22"/>
                <w:sz w:val="20"/>
                <w:szCs w:val="20"/>
              </w:rPr>
              <w:t xml:space="preserve">Economisch</w:t>
            </w:r>
          </w:p>
        </w:tc>
        <w:tc>
          <w:tcPr>
            <w:tcW w:type="dxa" w:w="3010"/>
            <w:tcBorders>
              <w:top w:val="single" w:color="1E8449" w:sz="6"/>
              <w:left w:val="single" w:color="E8F8F0" w:sz="1"/>
              <w:bottom w:val="single" w:color="E8F8F0" w:sz="1"/>
              <w:right w:val="single" w:color="E8F8F0" w:sz="1"/>
            </w:tcBorders>
            <w:shd w:fill="E8F8F0" w:val="clear"/>
            <w:tcMar>
              <w:top w:type="dxa" w:w="80"/>
              <w:left w:type="dxa" w:w="100"/>
              <w:bottom w:type="dxa" w:w="80"/>
              <w:right w:type="dxa" w:w="100"/>
            </w:tcMar>
          </w:tcPr>
          <w:p>
            <w:pPr>
              <w:jc w:val="center"/>
            </w:pPr>
            <w:r>
              <w:rPr>
                <w:rFonts w:ascii="Arial" w:cs="Arial" w:eastAsia="Arial" w:hAnsi="Arial"/>
                <w:b/>
                <w:bCs/>
                <w:color w:val="1E8449"/>
                <w:sz w:val="20"/>
                <w:szCs w:val="20"/>
              </w:rPr>
              <w:t xml:space="preserve">Grafisch</w:t>
            </w:r>
          </w:p>
        </w:tc>
      </w:tr>
    </w:tbl>
    <w:p>
      <w:pPr>
        <w:spacing w:after="120"/>
      </w:pPr>
    </w:p>
    <w:p>
      <w:pPr>
        <w:pStyle w:val="Heading1"/>
        <w:spacing w:after="120" w:before="0"/>
      </w:pPr>
      <w:r>
        <w:rPr>
          <w:rFonts w:ascii="Arial" w:cs="Arial" w:eastAsia="Arial" w:hAnsi="Arial"/>
          <w:b/>
          <w:bCs/>
          <w:color w:val="1E2761"/>
          <w:sz w:val="36"/>
          <w:szCs w:val="36"/>
        </w:rPr>
        <w:t xml:space="preserve">Inhoudsopgave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3726"/>
        <w:gridCol w:w="1600"/>
      </w:tblGrid>
      <w:tr>
        <w:tc>
          <w:tcPr>
            <w:tcW w:type="dxa" w:w="5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Nr.</w:t>
            </w:r>
          </w:p>
        </w:tc>
        <w:tc>
          <w:tcPr>
            <w:tcW w:type="dxa" w:w="32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Onderwerp</w:t>
            </w:r>
          </w:p>
        </w:tc>
        <w:tc>
          <w:tcPr>
            <w:tcW w:type="dxa" w:w="3726"/>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Omschrijving</w:t>
            </w:r>
          </w:p>
        </w:tc>
        <w:tc>
          <w:tcPr>
            <w:tcW w:type="dxa" w:w="16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Domein</w:t>
            </w:r>
          </w:p>
        </w:tc>
      </w:tr>
      <w:tr>
        <w:tc>
          <w:tcPr>
            <w:tcW w:type="dxa" w:w="5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22"/>
                <w:szCs w:val="22"/>
              </w:rPr>
              <w:t xml:space="preserve">1</w:t>
            </w:r>
          </w:p>
        </w:tc>
        <w:tc>
          <w:tcPr>
            <w:tcW w:type="dxa" w:w="3200"/>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b/>
                <w:bCs/>
                <w:color w:val="2D3748"/>
                <w:sz w:val="21"/>
                <w:szCs w:val="21"/>
              </w:rPr>
              <w:t xml:space="preserve">Rekenen met eenheden</w:t>
            </w:r>
          </w:p>
        </w:tc>
        <w:tc>
          <w:tcPr>
            <w:tcW w:type="dxa" w:w="3726"/>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color w:val="718096"/>
                <w:sz w:val="20"/>
                <w:szCs w:val="20"/>
              </w:rPr>
              <w:t xml:space="preserve">Per-eenheid bedragen omrekenen en grote bedragen lezen</w:t>
            </w:r>
          </w:p>
        </w:tc>
        <w:tc>
          <w:tcPr>
            <w:tcW w:type="dxa" w:w="16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18"/>
                <w:szCs w:val="18"/>
              </w:rPr>
              <w:t xml:space="preserve">Wiskundig</w:t>
            </w:r>
          </w:p>
        </w:tc>
      </w:tr>
      <w:tr>
        <w:tc>
          <w:tcPr>
            <w:tcW w:type="dxa" w:w="500"/>
            <w:tcBorders>
              <w:top w:val="single" w:color="E2E8F0" w:sz="1"/>
              <w:left w:val="single" w:color="E2E8F0" w:sz="1"/>
              <w:bottom w:val="single" w:color="E2E8F0" w:sz="1"/>
              <w:right w:val="single" w:color="E2E8F0" w:sz="1"/>
            </w:tcBorders>
            <w:shd w:fill="E8F8F0" w:val="clear"/>
            <w:tcMar>
              <w:top w:type="dxa" w:w="100"/>
              <w:left w:type="dxa" w:w="120"/>
              <w:bottom w:type="dxa" w:w="100"/>
              <w:right w:type="dxa" w:w="120"/>
            </w:tcMar>
            <w:vAlign w:val="center"/>
          </w:tcPr>
          <w:p>
            <w:pPr>
              <w:jc w:val="center"/>
            </w:pPr>
            <w:r>
              <w:rPr>
                <w:rFonts w:ascii="Arial" w:cs="Arial" w:eastAsia="Arial" w:hAnsi="Arial"/>
                <w:b/>
                <w:bCs/>
                <w:color w:val="1E8449"/>
                <w:sz w:val="22"/>
                <w:szCs w:val="22"/>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b/>
                <w:bCs/>
                <w:color w:val="2D3748"/>
                <w:sz w:val="21"/>
                <w:szCs w:val="21"/>
              </w:rPr>
              <w:t xml:space="preserve">Staafdiagrammen lezen</w:t>
            </w:r>
          </w:p>
        </w:tc>
        <w:tc>
          <w:tcPr>
            <w:tcW w:type="dxa" w:w="3726"/>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color w:val="718096"/>
                <w:sz w:val="20"/>
                <w:szCs w:val="20"/>
              </w:rPr>
              <w:t xml:space="preserve">Assen, balken en hoogtes aflezen</w:t>
            </w:r>
          </w:p>
        </w:tc>
        <w:tc>
          <w:tcPr>
            <w:tcW w:type="dxa" w:w="1600"/>
            <w:tcBorders>
              <w:top w:val="single" w:color="E2E8F0" w:sz="1"/>
              <w:left w:val="single" w:color="E2E8F0" w:sz="1"/>
              <w:bottom w:val="single" w:color="E2E8F0" w:sz="1"/>
              <w:right w:val="single" w:color="E2E8F0" w:sz="1"/>
            </w:tcBorders>
            <w:shd w:fill="E8F8F0" w:val="clear"/>
            <w:tcMar>
              <w:top w:type="dxa" w:w="100"/>
              <w:left w:type="dxa" w:w="120"/>
              <w:bottom w:type="dxa" w:w="100"/>
              <w:right w:type="dxa" w:w="120"/>
            </w:tcMar>
            <w:vAlign w:val="center"/>
          </w:tcPr>
          <w:p>
            <w:pPr>
              <w:jc w:val="center"/>
            </w:pPr>
            <w:r>
              <w:rPr>
                <w:rFonts w:ascii="Arial" w:cs="Arial" w:eastAsia="Arial" w:hAnsi="Arial"/>
                <w:b/>
                <w:bCs/>
                <w:color w:val="1E8449"/>
                <w:sz w:val="18"/>
                <w:szCs w:val="18"/>
              </w:rPr>
              <w:t xml:space="preserve">Grafisch</w:t>
            </w:r>
          </w:p>
        </w:tc>
      </w:tr>
      <w:tr>
        <w:tc>
          <w:tcPr>
            <w:tcW w:type="dxa" w:w="500"/>
            <w:tcBorders>
              <w:top w:val="single" w:color="E2E8F0" w:sz="1"/>
              <w:left w:val="single" w:color="E2E8F0" w:sz="1"/>
              <w:bottom w:val="single" w:color="E2E8F0" w:sz="1"/>
              <w:right w:val="single" w:color="E2E8F0" w:sz="1"/>
            </w:tcBorders>
            <w:shd w:fill="FEF5E7" w:val="clear"/>
            <w:tcMar>
              <w:top w:type="dxa" w:w="100"/>
              <w:left w:type="dxa" w:w="120"/>
              <w:bottom w:type="dxa" w:w="100"/>
              <w:right w:type="dxa" w:w="120"/>
            </w:tcMar>
            <w:vAlign w:val="center"/>
          </w:tcPr>
          <w:p>
            <w:pPr>
              <w:jc w:val="center"/>
            </w:pPr>
            <w:r>
              <w:rPr>
                <w:rFonts w:ascii="Arial" w:cs="Arial" w:eastAsia="Arial" w:hAnsi="Arial"/>
                <w:b/>
                <w:bCs/>
                <w:color w:val="E67E22"/>
                <w:sz w:val="22"/>
                <w:szCs w:val="22"/>
              </w:rPr>
              <w:t xml:space="preserve">3</w:t>
            </w:r>
          </w:p>
        </w:tc>
        <w:tc>
          <w:tcPr>
            <w:tcW w:type="dxa" w:w="3200"/>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b/>
                <w:bCs/>
                <w:color w:val="2D3748"/>
                <w:sz w:val="21"/>
                <w:szCs w:val="21"/>
              </w:rPr>
              <w:t xml:space="preserve">Intuïtie voor kiezen</w:t>
            </w:r>
          </w:p>
        </w:tc>
        <w:tc>
          <w:tcPr>
            <w:tcW w:type="dxa" w:w="3726"/>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color w:val="718096"/>
                <w:sz w:val="20"/>
                <w:szCs w:val="20"/>
              </w:rPr>
              <w:t xml:space="preserve">Dagelijkse keuzes bij beperkte tijd of geld</w:t>
            </w:r>
          </w:p>
        </w:tc>
        <w:tc>
          <w:tcPr>
            <w:tcW w:type="dxa" w:w="1600"/>
            <w:tcBorders>
              <w:top w:val="single" w:color="E2E8F0" w:sz="1"/>
              <w:left w:val="single" w:color="E2E8F0" w:sz="1"/>
              <w:bottom w:val="single" w:color="E2E8F0" w:sz="1"/>
              <w:right w:val="single" w:color="E2E8F0" w:sz="1"/>
            </w:tcBorders>
            <w:shd w:fill="FEF5E7" w:val="clear"/>
            <w:tcMar>
              <w:top w:type="dxa" w:w="100"/>
              <w:left w:type="dxa" w:w="120"/>
              <w:bottom w:type="dxa" w:w="100"/>
              <w:right w:type="dxa" w:w="120"/>
            </w:tcMar>
            <w:vAlign w:val="center"/>
          </w:tcPr>
          <w:p>
            <w:pPr>
              <w:jc w:val="center"/>
            </w:pPr>
            <w:r>
              <w:rPr>
                <w:rFonts w:ascii="Arial" w:cs="Arial" w:eastAsia="Arial" w:hAnsi="Arial"/>
                <w:b/>
                <w:bCs/>
                <w:color w:val="E67E22"/>
                <w:sz w:val="18"/>
                <w:szCs w:val="18"/>
              </w:rPr>
              <w:t xml:space="preserve">Economisch</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Rekenen met eenheden</w:t>
            </w:r>
          </w:p>
          <w:p>
            <w:pPr>
              <w:spacing w:before="40"/>
            </w:pPr>
            <w:r>
              <w:rPr>
                <w:rFonts w:ascii="Arial" w:cs="Arial" w:eastAsia="Arial" w:hAnsi="Arial"/>
                <w:i/>
                <w:iCs/>
                <w:color w:val="1A5276"/>
                <w:sz w:val="18"/>
                <w:szCs w:val="18"/>
              </w:rPr>
              <w:t xml:space="preserve">Wiskundig</w:t>
            </w:r>
          </w:p>
        </w:tc>
      </w:tr>
    </w:tbl>
    <w:p>
      <w:pPr>
        <w:spacing w:after="120"/>
      </w:pPr>
    </w:p>
    <w:p>
      <w:pPr>
        <w:pStyle w:val="Heading2"/>
        <w:spacing w:after="120" w:before="200"/>
      </w:pPr>
      <w:r>
        <w:rPr>
          <w:rFonts w:ascii="Arial" w:cs="Arial" w:eastAsia="Arial" w:hAnsi="Arial"/>
          <w:b/>
          <w:bCs/>
          <w:color w:val="1A5276"/>
          <w:sz w:val="24"/>
          <w:szCs w:val="24"/>
        </w:rPr>
        <w:t xml:space="preserve">Per-eenheid bedragen omrekenen</w:t>
      </w:r>
    </w:p>
    <w:p>
      <w:pPr>
        <w:spacing w:after="120"/>
      </w:pPr>
      <w:r>
        <w:rPr>
          <w:rFonts w:ascii="Arial" w:cs="Arial" w:eastAsia="Arial" w:hAnsi="Arial"/>
          <w:color w:val="2D3748"/>
          <w:sz w:val="22"/>
          <w:szCs w:val="22"/>
        </w:rPr>
        <w:t xml:space="preserve">In de economie staat een bedrag bijna nooit op zichzelf. Bedragen horen altijd bij een eenheid: euro per uur, euro per kilo, euro per hectare, euro per maand. Een uitspraak als „de opbrengst is €500” is pas zinvol als je weet waar het bij hoort: per uur? per kilo? per hectare? Voor de rest van het vak moet je vlot kunnen schakelen tussen een bedrag-per-eenheid en het totaalbedrag, en moet je je eenheden netjes meenemen in elke berekening.</w:t>
      </w:r>
    </w:p>
    <w:p>
      <w:pPr>
        <w:spacing w:after="120"/>
      </w:pPr>
      <w:r>
        <w:rPr>
          <w:rFonts w:ascii="Arial" w:cs="Arial" w:eastAsia="Arial" w:hAnsi="Arial"/>
          <w:b/>
          <w:bCs/>
          <w:color w:val="2D3748"/>
          <w:sz w:val="22"/>
          <w:szCs w:val="22"/>
        </w:rPr>
        <w:t xml:space="preserve">De omzetting van bedrag-per-eenheid naar totaal gaat altijd via vermenigvuldigen, en de eenheden vallen netjes weg: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totaal (€) = aantal eenheden × bedrag per eenheid (€/eenheid)</w:t>
            </w:r>
          </w:p>
          <w:p>
            <w:pPr>
              <w:spacing w:after="60"/>
            </w:pPr>
            <w:r>
              <w:rPr>
                <w:rFonts w:ascii="Consolas" w:cs="Consolas" w:eastAsia="Consolas" w:hAnsi="Consolas"/>
                <w:color w:val="2D3748"/>
                <w:sz w:val="22"/>
                <w:szCs w:val="22"/>
              </w:rPr>
              <w:t xml:space="preserve">voorbeeld: 12 hectare × €500/hectare = €6.000</w:t>
            </w:r>
          </w:p>
          <w:p>
            <w:pPr>
              <w:spacing w:after="60"/>
            </w:pPr>
            <w:r>
              <w:rPr>
                <w:rFonts w:ascii="Consolas" w:cs="Consolas" w:eastAsia="Consolas" w:hAnsi="Consolas"/>
                <w:color w:val="2D3748"/>
                <w:sz w:val="22"/>
                <w:szCs w:val="22"/>
              </w:rPr>
              <w:t xml:space="preserve">(de eenheden „hectare” en „/hectare” vallen tegen elkaar weg)</w:t>
            </w:r>
          </w:p>
        </w:tc>
      </w:tr>
    </w:tbl>
    <w:p>
      <w:pPr>
        <w:spacing w:after="120"/>
      </w:pPr>
      <w:r>
        <w:rPr>
          <w:rFonts w:ascii="Arial" w:cs="Arial" w:eastAsia="Arial" w:hAnsi="Arial"/>
          <w:b/>
          <w:bCs/>
          <w:color w:val="2D3748"/>
          <w:sz w:val="22"/>
          <w:szCs w:val="22"/>
        </w:rPr>
        <w:t xml:space="preserve">Andersom kun je een totaal terugrekenen naar een bedrag per eenheid door te delen — handig om opties met verschillende „groottes” eerlijk te vergelijken: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bedrag per eenheid = totaal ÷ aantal eenheden</w:t>
            </w:r>
          </w:p>
          <w:p>
            <w:pPr>
              <w:spacing w:after="60"/>
            </w:pPr>
            <w:r>
              <w:rPr>
                <w:rFonts w:ascii="Consolas" w:cs="Consolas" w:eastAsia="Consolas" w:hAnsi="Consolas"/>
                <w:color w:val="2D3748"/>
                <w:sz w:val="22"/>
                <w:szCs w:val="22"/>
              </w:rPr>
              <w:t xml:space="preserve">voorbeeld: €4.500 ÷ 9 hectare = €500/hectare</w:t>
            </w:r>
          </w:p>
        </w:tc>
      </w:tr>
    </w:tbl>
    <w:p>
      <w:pPr>
        <w:pStyle w:val="Heading2"/>
        <w:spacing w:after="120" w:before="200"/>
      </w:pPr>
      <w:r>
        <w:rPr>
          <w:rFonts w:ascii="Arial" w:cs="Arial" w:eastAsia="Arial" w:hAnsi="Arial"/>
          <w:b/>
          <w:bCs/>
          <w:color w:val="1A5276"/>
          <w:sz w:val="24"/>
          <w:szCs w:val="24"/>
        </w:rPr>
        <w:t xml:space="preserve">Grote bedragen in Nederlandse notatie</w:t>
      </w:r>
    </w:p>
    <w:p>
      <w:pPr>
        <w:spacing w:after="120"/>
      </w:pPr>
      <w:r>
        <w:rPr>
          <w:rFonts w:ascii="Arial" w:cs="Arial" w:eastAsia="Arial" w:hAnsi="Arial"/>
          <w:color w:val="2D3748"/>
          <w:sz w:val="22"/>
          <w:szCs w:val="22"/>
        </w:rPr>
        <w:t xml:space="preserve">Geldbedragen in deze methode (en in CvTE-examens) zijn in Nederlandse notatie: een punt scheidt duizendtallen, een komma scheidt eurocenten. Dus „€5.000” is vijfduizend euro, niet vijf euro. „€5,00” is vijf euro. Het is belangrijk dat je dit op één blik herkent.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€500     = vijfhonderd euro</w:t>
            </w:r>
          </w:p>
          <w:p>
            <w:pPr>
              <w:spacing w:after="60"/>
            </w:pPr>
            <w:r>
              <w:rPr>
                <w:rFonts w:ascii="Consolas" w:cs="Consolas" w:eastAsia="Consolas" w:hAnsi="Consolas"/>
                <w:color w:val="2D3748"/>
                <w:sz w:val="22"/>
                <w:szCs w:val="22"/>
              </w:rPr>
              <w:t xml:space="preserve">€5.000   = vijfduizend euro       (punt = duizendtallen)</w:t>
            </w:r>
          </w:p>
          <w:p>
            <w:pPr>
              <w:spacing w:after="60"/>
            </w:pPr>
            <w:r>
              <w:rPr>
                <w:rFonts w:ascii="Consolas" w:cs="Consolas" w:eastAsia="Consolas" w:hAnsi="Consolas"/>
                <w:color w:val="2D3748"/>
                <w:sz w:val="22"/>
                <w:szCs w:val="22"/>
              </w:rPr>
              <w:t xml:space="preserve">€5,00    = vijf euro              (komma = centen)</w:t>
            </w:r>
          </w:p>
          <w:p>
            <w:pPr>
              <w:spacing w:after="60"/>
            </w:pPr>
            <w:r>
              <w:rPr>
                <w:rFonts w:ascii="Consolas" w:cs="Consolas" w:eastAsia="Consolas" w:hAnsi="Consolas"/>
                <w:color w:val="2D3748"/>
                <w:sz w:val="22"/>
                <w:szCs w:val="22"/>
              </w:rPr>
              <w:t xml:space="preserve">€500.000 = vijfhonderdduizend euro</w:t>
            </w:r>
          </w:p>
        </w:tc>
      </w:tr>
    </w:tbl>
    <w:p>
      <w:pPr>
        <w:pStyle w:val="Heading2"/>
        <w:spacing w:after="120" w:before="200"/>
      </w:pPr>
      <w:r>
        <w:rPr>
          <w:rFonts w:ascii="Arial" w:cs="Arial" w:eastAsia="Arial" w:hAnsi="Arial"/>
          <w:b/>
          <w:bCs/>
          <w:color w:val="1A5276"/>
          <w:sz w:val="24"/>
          <w:szCs w:val="24"/>
        </w:rPr>
        <w:t xml:space="preserve">Uitgewerkt voorbeeld</w:t>
      </w:r>
    </w:p>
    <w:p>
      <w:pPr>
        <w:spacing w:after="120"/>
      </w:pPr>
      <w:r>
        <w:rPr>
          <w:rFonts w:ascii="Arial" w:cs="Arial" w:eastAsia="Arial" w:hAnsi="Arial"/>
          <w:color w:val="2D3748"/>
          <w:sz w:val="22"/>
          <w:szCs w:val="22"/>
        </w:rPr>
        <w:t xml:space="preserve">Een boer heeft 10 hectare land en kan kiezen tussen tarwe (opbrengst €500 per hectare) en maïs (opbrengst €350 per hectare). Wat is de totale opbrengst per gewas, en hoeveel scheelt het?</w:t>
      </w:r>
    </w:p>
    <w:p>
      <w:pPr>
        <w:pStyle w:val="ListParagraph"/>
        <w:numPr>
          <w:ilvl w:val="0"/>
          <w:numId w:val="1"/>
        </w:numPr>
        <w:spacing w:after="80"/>
      </w:pPr>
      <w:r>
        <w:rPr>
          <w:rFonts w:ascii="Arial" w:cs="Arial" w:eastAsia="Arial" w:hAnsi="Arial"/>
          <w:color w:val="2D3748"/>
          <w:sz w:val="22"/>
          <w:szCs w:val="22"/>
        </w:rPr>
        <w:t xml:space="preserve">Stap 1: schrijf de eenheden op — aantal (hectare) × opbrengst (€/hectare) = totaal (€).</w:t>
      </w:r>
    </w:p>
    <w:p>
      <w:pPr>
        <w:pStyle w:val="ListParagraph"/>
        <w:numPr>
          <w:ilvl w:val="0"/>
          <w:numId w:val="1"/>
        </w:numPr>
        <w:spacing w:after="80"/>
      </w:pPr>
      <w:r>
        <w:rPr>
          <w:rFonts w:ascii="Arial" w:cs="Arial" w:eastAsia="Arial" w:hAnsi="Arial"/>
          <w:color w:val="2D3748"/>
          <w:sz w:val="22"/>
          <w:szCs w:val="22"/>
        </w:rPr>
        <w:t xml:space="preserve">Stap 2: reken uit — tarwe 10 × €500 = €5.000; maïs 10 × €350 = €3.500.</w:t>
      </w:r>
    </w:p>
    <w:p>
      <w:pPr>
        <w:pStyle w:val="ListParagraph"/>
        <w:numPr>
          <w:ilvl w:val="0"/>
          <w:numId w:val="1"/>
        </w:numPr>
        <w:spacing w:after="80"/>
      </w:pPr>
      <w:r>
        <w:rPr>
          <w:rFonts w:ascii="Arial" w:cs="Arial" w:eastAsia="Arial" w:hAnsi="Arial"/>
          <w:color w:val="2D3748"/>
          <w:sz w:val="22"/>
          <w:szCs w:val="22"/>
        </w:rPr>
        <w:t xml:space="preserve">Stap 3: bereken het verschil — €5.000 − €3.500 = €1.500 in het voordeel van tarwe.</w:t>
      </w:r>
    </w:p>
    <w:p>
      <w:pPr>
        <w:pStyle w:val="ListParagraph"/>
        <w:numPr>
          <w:ilvl w:val="0"/>
          <w:numId w:val="1"/>
        </w:numPr>
        <w:spacing w:after="80"/>
      </w:pPr>
      <w:r>
        <w:rPr>
          <w:rFonts w:ascii="Arial" w:cs="Arial" w:eastAsia="Arial" w:hAnsi="Arial"/>
          <w:color w:val="2D3748"/>
          <w:sz w:val="22"/>
          <w:szCs w:val="22"/>
        </w:rPr>
        <w:t xml:space="preserve">Stap 4: controleer de orde van grootte — €5.000 voor 10 hectare tarwe klopt; deze bedragen zijn realistisch.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Schrijf de eenheid altijd náást het getal — niet alleen in je hoofd. Wie „10 × 500 = 5000” opschrijft zonder eenheid, weet straks niet meer of het hectare, kilo of euro waren. Met „10 ha × €500/ha = €5.000” valt dat probleem weg.</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Kun je vlot omzetten: „€350/hectare op 10 hectare” → totaal? En kun je het verschil €5.000 − €3.500 uit je hoofd uitrekenen?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Per-eenheid → totaal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totaal = aantal × bedrag per eenheid (eenheden vallen weg)</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Totaal → per-eenheid</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bedrag per eenheid = totaal ÷ aantal eenheden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Grote getallen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Nederlandse notatie: punt = duizendtallen, komma = centen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Toepassing</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twee alternatieven met dezelfde eenheid eerlijk vergelijken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E8449" w:sz="1"/>
              <w:left w:val="single" w:color="1E8449" w:sz="1"/>
              <w:bottom w:val="single" w:color="1E8449" w:sz="1"/>
              <w:right w:val="none" w:color="1E8449" w:sz="0"/>
            </w:tcBorders>
            <w:shd w:fill="1E8449"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E8449" w:sz="1"/>
              <w:left w:val="none" w:color="1E8449" w:sz="0"/>
              <w:bottom w:val="single" w:color="1E8449" w:sz="1"/>
              <w:right w:val="single" w:color="1E8449" w:sz="1"/>
            </w:tcBorders>
            <w:shd w:fill="E8F8F0" w:val="clear"/>
            <w:tcMar>
              <w:top w:type="dxa" w:w="140"/>
              <w:left w:type="dxa" w:w="200"/>
              <w:bottom w:type="dxa" w:w="140"/>
              <w:right w:type="dxa" w:w="200"/>
            </w:tcMar>
            <w:vAlign w:val="center"/>
          </w:tcPr>
          <w:p>
            <w:r>
              <w:rPr>
                <w:rFonts w:ascii="Arial" w:cs="Arial" w:eastAsia="Arial" w:hAnsi="Arial"/>
                <w:b/>
                <w:bCs/>
                <w:color w:val="186A3B"/>
                <w:sz w:val="28"/>
                <w:szCs w:val="28"/>
              </w:rPr>
              <w:t xml:space="preserve">Staafdiagrammen lezen</w:t>
            </w:r>
          </w:p>
          <w:p>
            <w:pPr>
              <w:spacing w:before="40"/>
            </w:pPr>
            <w:r>
              <w:rPr>
                <w:rFonts w:ascii="Arial" w:cs="Arial" w:eastAsia="Arial" w:hAnsi="Arial"/>
                <w:i/>
                <w:iCs/>
                <w:color w:val="1E8449"/>
                <w:sz w:val="18"/>
                <w:szCs w:val="18"/>
              </w:rPr>
              <w:t xml:space="preserve">Grafisch</w:t>
            </w:r>
          </w:p>
        </w:tc>
      </w:tr>
    </w:tbl>
    <w:p>
      <w:pPr>
        <w:spacing w:after="120"/>
      </w:pPr>
    </w:p>
    <w:p>
      <w:pPr>
        <w:pStyle w:val="Heading2"/>
        <w:spacing w:after="120" w:before="200"/>
      </w:pPr>
      <w:r>
        <w:rPr>
          <w:rFonts w:ascii="Arial" w:cs="Arial" w:eastAsia="Arial" w:hAnsi="Arial"/>
          <w:b/>
          <w:bCs/>
          <w:color w:val="1E8449"/>
          <w:sz w:val="24"/>
          <w:szCs w:val="24"/>
        </w:rPr>
        <w:t xml:space="preserve">Wat is een staafdiagram?</w:t>
      </w:r>
    </w:p>
    <w:p>
      <w:pPr>
        <w:spacing w:after="120"/>
      </w:pPr>
      <w:r>
        <w:rPr>
          <w:rFonts w:ascii="Arial" w:cs="Arial" w:eastAsia="Arial" w:hAnsi="Arial"/>
          <w:color w:val="2D3748"/>
          <w:sz w:val="22"/>
          <w:szCs w:val="22"/>
        </w:rPr>
        <w:t xml:space="preserve">Een staafdiagram is een grafiek waarin je losse categorieën (bijvoorbeeld verschillende gewassen, producten of landen) naast elkaar ziet, elk met een eigen staaf. De hoogte van de staaf laat zien hoeveel er van die categorie is — bijvoorbeeld de opbrengst per hectare of het aantal verkochte eenheden. Je kent dit type grafiek al uit de onderbouw; we gebruiken het in economie om snel alternatieven met elkaar te kunnen vergelijken.</w:t>
      </w:r>
    </w:p>
    <w:p>
      <w:pPr>
        <w:spacing w:after="120"/>
      </w:pPr>
      <w:r>
        <w:rPr>
          <w:rFonts w:ascii="Arial" w:cs="Arial" w:eastAsia="Arial" w:hAnsi="Arial"/>
          <w:b/>
          <w:bCs/>
          <w:color w:val="2D3748"/>
          <w:sz w:val="22"/>
          <w:szCs w:val="22"/>
        </w:rPr>
        <w:t xml:space="preserve">Drie dingen moet je altijd eerst bekijken voordat je iets aflast:</w:t>
      </w:r>
    </w:p>
    <w:p>
      <w:pPr>
        <w:pStyle w:val="ListParagraph"/>
        <w:numPr>
          <w:ilvl w:val="0"/>
          <w:numId w:val="1"/>
        </w:numPr>
        <w:spacing w:after="80"/>
      </w:pPr>
      <w:r>
        <w:rPr>
          <w:rFonts w:ascii="Arial" w:cs="Arial" w:eastAsia="Arial" w:hAnsi="Arial"/>
          <w:color w:val="2D3748"/>
          <w:sz w:val="22"/>
          <w:szCs w:val="22"/>
        </w:rPr>
        <w:t xml:space="preserve">De horizontale as (x-as): welke categorieën staan er naast elkaar? Bijvoorbeeld: tarwe, maïs, zonnebloemen.</w:t>
      </w:r>
    </w:p>
    <w:p>
      <w:pPr>
        <w:pStyle w:val="ListParagraph"/>
        <w:numPr>
          <w:ilvl w:val="0"/>
          <w:numId w:val="1"/>
        </w:numPr>
        <w:spacing w:after="80"/>
      </w:pPr>
      <w:r>
        <w:rPr>
          <w:rFonts w:ascii="Arial" w:cs="Arial" w:eastAsia="Arial" w:hAnsi="Arial"/>
          <w:color w:val="2D3748"/>
          <w:sz w:val="22"/>
          <w:szCs w:val="22"/>
        </w:rPr>
        <w:t xml:space="preserve">De verticale as (y-as): wat wordt gemeten, en in welke eenheid? Bijvoorbeeld: winst per hectare in euro’s.</w:t>
      </w:r>
    </w:p>
    <w:p>
      <w:pPr>
        <w:pStyle w:val="ListParagraph"/>
        <w:numPr>
          <w:ilvl w:val="0"/>
          <w:numId w:val="1"/>
        </w:numPr>
        <w:spacing w:after="80"/>
      </w:pPr>
      <w:r>
        <w:rPr>
          <w:rFonts w:ascii="Arial" w:cs="Arial" w:eastAsia="Arial" w:hAnsi="Arial"/>
          <w:color w:val="2D3748"/>
          <w:sz w:val="22"/>
          <w:szCs w:val="22"/>
        </w:rPr>
        <w:t xml:space="preserve">De schaal: gaat de as in stapjes van €50, €100 of €500? Dat bepaalt hoe nauwkeurig je kunt aflezen.</w:t>
      </w:r>
    </w:p>
    <w:p>
      <w:pPr>
        <w:pStyle w:val="Heading2"/>
        <w:spacing w:after="120" w:before="200"/>
      </w:pPr>
      <w:r>
        <w:rPr>
          <w:rFonts w:ascii="Arial" w:cs="Arial" w:eastAsia="Arial" w:hAnsi="Arial"/>
          <w:b/>
          <w:bCs/>
          <w:color w:val="1E8449"/>
          <w:sz w:val="24"/>
          <w:szCs w:val="24"/>
        </w:rPr>
        <w:t xml:space="preserve">Voorbeeld: winst per hectare</w:t>
      </w:r>
    </w:p>
    <w:p>
      <w:pPr>
        <w:spacing w:after="120"/>
      </w:pPr>
      <w:r>
        <w:rPr>
          <w:rFonts w:ascii="Arial" w:cs="Arial" w:eastAsia="Arial" w:hAnsi="Arial"/>
          <w:color w:val="2D3748"/>
          <w:sz w:val="22"/>
          <w:szCs w:val="22"/>
        </w:rPr>
        <w:t xml:space="preserve">In het staafdiagram hieronder zie je de winst per hectare voor drie gewassen die een boer kan verbouwen. Op de x-as staan de drie gewassen, op de y-as de winst per hectare in euro’s.</w:t>
      </w:r>
    </w:p>
    <w:p>
      <w:pPr>
        <w:spacing w:after="120" w:before="120"/>
        <w:jc w:val="center"/>
      </w:pPr>
      <w:r>
        <w:drawing>
          <wp:inline distT="0" distB="0" distL="0" distR="0">
            <wp:extent cx="4000500" cy="2571750"/>
            <wp:effectExtent t="0" r="0" b="0" l="0"/>
            <wp:docPr id="1" name="1.1.1_ex_1" descr="asset-alt:Staafdiagram met winst per hectare voor drie gewassen: tarwe €500, maïs €350, zonnebloemen €300 — duidelijk verschil in opbrengst tussen de alternatieven." title="1.1.1_ex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571750"/>
                    </a:xfrm>
                    <a:prstGeom prst="rect">
                      <a:avLst/>
                    </a:prstGeom>
                  </pic:spPr>
                </pic:pic>
              </a:graphicData>
            </a:graphic>
          </wp:inline>
        </w:drawing>
      </w:r>
    </w:p>
    <w:p>
      <w:pPr>
        <w:spacing w:after="120"/>
      </w:pPr>
      <w:r>
        <w:rPr>
          <w:rFonts w:ascii="Arial" w:cs="Arial" w:eastAsia="Arial" w:hAnsi="Arial"/>
          <w:i/>
          <w:iCs/>
          <w:color w:val="718096"/>
          <w:sz w:val="18"/>
          <w:szCs w:val="18"/>
        </w:rPr>
        <w:t xml:space="preserve">Figuur: winst per hectare voor tarwe (€500), maïs (€350) en zonnebloemen (€300). De alt-tekst van de afbeelding bevat dezelfde informatie als deze caption.</w:t>
      </w:r>
    </w:p>
    <w:p>
      <w:pPr>
        <w:spacing w:after="40"/>
      </w:pPr>
    </w:p>
    <w:p>
      <w:pPr>
        <w:spacing w:after="120"/>
      </w:pPr>
      <w:r>
        <w:rPr>
          <w:rFonts w:ascii="Arial" w:cs="Arial" w:eastAsia="Arial" w:hAnsi="Arial"/>
          <w:i/>
          <w:iCs/>
          <w:color w:val="718096"/>
          <w:sz w:val="22"/>
          <w:szCs w:val="22"/>
        </w:rPr>
        <w:t xml:space="preserve">Voorbeeld van aflezen: trek vanaf de top van de maïs-staaf een denkbeeldige horizontale lijn naar de y-as. Daar lees je de winst per hectare van maïs af. Doe hetzelfde voor tarwe en zonnebloemen, en je kunt direct zien welk gewas het meest oplevert per hectare.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Lees de as-labels altijd vóórdat je naar de staven kijkt. Zonder te weten wát de staaf meet (euro’s? aantallen? procenten?), kun je geen zinnige conclusie trekken.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Let op bij grafieken waarbij de y-as niet bij 0 begint: een klein verschil lijkt dan opeens enorm. Kijk dus altijd naar de schaal, niet alleen naar de hoogteverhouding tussen de staven.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Kun je in een staafdiagram benoemen wat er op de x-as en y-as staat, en de hoogte van een staaf aflezen met de juiste eenheid?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E8449" w:sz="1"/>
              <w:left w:val="single" w:color="1E8449" w:sz="1"/>
              <w:bottom w:val="single" w:color="1E8449" w:sz="1"/>
              <w:right w:val="single" w:color="1E8449" w:sz="1"/>
            </w:tcBorders>
            <w:shd w:fill="1E8449"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E8449"/>
                <w:sz w:val="20"/>
                <w:szCs w:val="20"/>
              </w:rPr>
              <w:t xml:space="preserve">X-as</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De categorieën die je vergelijkt (bijv. gewassen)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E8449"/>
                <w:sz w:val="20"/>
                <w:szCs w:val="20"/>
              </w:rPr>
              <w:t xml:space="preserve">Y-as</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 hoeveelheid met eenheid (bijv. € per hectare)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E8449"/>
                <w:sz w:val="20"/>
                <w:szCs w:val="20"/>
              </w:rPr>
              <w:t xml:space="preserve">Staaf</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Hoogte = de waarde; aflezen naar de y-as</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E8449"/>
                <w:sz w:val="20"/>
                <w:szCs w:val="20"/>
              </w:rPr>
              <w:t xml:space="preserve">Schaal</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Let op waar de as begint en in welke stappen hij oploopt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E67E22" w:sz="1"/>
              <w:left w:val="single" w:color="E67E22" w:sz="1"/>
              <w:bottom w:val="single" w:color="E67E22" w:sz="1"/>
              <w:right w:val="none" w:color="E67E22" w:sz="0"/>
            </w:tcBorders>
            <w:shd w:fill="E67E22"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3</w:t>
            </w:r>
          </w:p>
        </w:tc>
        <w:tc>
          <w:tcPr>
            <w:tcW w:type="dxa" w:w="8426"/>
            <w:tcBorders>
              <w:top w:val="single" w:color="E67E22" w:sz="1"/>
              <w:left w:val="none" w:color="E67E22" w:sz="0"/>
              <w:bottom w:val="single" w:color="E67E22" w:sz="1"/>
              <w:right w:val="single" w:color="E67E22" w:sz="1"/>
            </w:tcBorders>
            <w:shd w:fill="FEF5E7" w:val="clear"/>
            <w:tcMar>
              <w:top w:type="dxa" w:w="140"/>
              <w:left w:type="dxa" w:w="200"/>
              <w:bottom w:type="dxa" w:w="140"/>
              <w:right w:type="dxa" w:w="200"/>
            </w:tcMar>
            <w:vAlign w:val="center"/>
          </w:tcPr>
          <w:p>
            <w:r>
              <w:rPr>
                <w:rFonts w:ascii="Arial" w:cs="Arial" w:eastAsia="Arial" w:hAnsi="Arial"/>
                <w:b/>
                <w:bCs/>
                <w:color w:val="BA6A1C"/>
                <w:sz w:val="28"/>
                <w:szCs w:val="28"/>
              </w:rPr>
              <w:t xml:space="preserve">Intuïtie voor kiezen</w:t>
            </w:r>
          </w:p>
          <w:p>
            <w:pPr>
              <w:spacing w:before="40"/>
            </w:pPr>
            <w:r>
              <w:rPr>
                <w:rFonts w:ascii="Arial" w:cs="Arial" w:eastAsia="Arial" w:hAnsi="Arial"/>
                <w:i/>
                <w:iCs/>
                <w:color w:val="E67E22"/>
                <w:sz w:val="18"/>
                <w:szCs w:val="18"/>
              </w:rPr>
              <w:t xml:space="preserve">Economisch</w:t>
            </w:r>
          </w:p>
        </w:tc>
      </w:tr>
    </w:tbl>
    <w:p>
      <w:pPr>
        <w:spacing w:after="120"/>
      </w:pPr>
    </w:p>
    <w:p>
      <w:pPr>
        <w:pStyle w:val="Heading2"/>
        <w:spacing w:after="120" w:before="200"/>
      </w:pPr>
      <w:r>
        <w:rPr>
          <w:rFonts w:ascii="Arial" w:cs="Arial" w:eastAsia="Arial" w:hAnsi="Arial"/>
          <w:b/>
          <w:bCs/>
          <w:color w:val="E67E22"/>
          <w:sz w:val="24"/>
          <w:szCs w:val="24"/>
        </w:rPr>
        <w:t xml:space="preserve">Je kiest al elke dag — vaak zonder erbij stil te staan</w:t>
      </w:r>
    </w:p>
    <w:p>
      <w:pPr>
        <w:spacing w:after="120"/>
      </w:pPr>
      <w:r>
        <w:rPr>
          <w:rFonts w:ascii="Arial" w:cs="Arial" w:eastAsia="Arial" w:hAnsi="Arial"/>
          <w:color w:val="2D3748"/>
          <w:sz w:val="22"/>
          <w:szCs w:val="22"/>
        </w:rPr>
        <w:t xml:space="preserve">Voor de economieles heb je nog geen economische theorie nodig om te snappen wat kiezen onder beperkingen is. Dat doe je al iedere dag. Je zakgeld is beperkt, je vrije tijd is beperkt, de ruimte in je tas is beperkt — en precies daarom moet je voortdurend kleine keuzes maken. Die ervaring vormt de intuïtie die je in §1.1.1 netjes in economische termen leert vangen.</w:t>
      </w:r>
    </w:p>
    <w:p>
      <w:pPr>
        <w:spacing w:after="120"/>
      </w:pPr>
      <w:r>
        <w:rPr>
          <w:rFonts w:ascii="Arial" w:cs="Arial" w:eastAsia="Arial" w:hAnsi="Arial"/>
          <w:b/>
          <w:bCs/>
          <w:color w:val="2D3748"/>
          <w:sz w:val="22"/>
          <w:szCs w:val="22"/>
        </w:rPr>
        <w:t xml:space="preserve">Drie alledaagse situaties waarin je al onbewust economisch kiest:</w:t>
      </w:r>
    </w:p>
    <w:p>
      <w:pPr>
        <w:pStyle w:val="ListParagraph"/>
        <w:numPr>
          <w:ilvl w:val="0"/>
          <w:numId w:val="1"/>
        </w:numPr>
        <w:spacing w:after="80"/>
      </w:pPr>
      <w:r>
        <w:rPr>
          <w:rFonts w:ascii="Arial" w:cs="Arial" w:eastAsia="Arial" w:hAnsi="Arial"/>
          <w:color w:val="2D3748"/>
          <w:sz w:val="22"/>
          <w:szCs w:val="22"/>
        </w:rPr>
        <w:t xml:space="preserve">Je hebt €20 zakgeld. Je wilt naar de bioscoop (€12) én een boek kopen (€15). Beide past niet — je moet kiezen.</w:t>
      </w:r>
    </w:p>
    <w:p>
      <w:pPr>
        <w:pStyle w:val="ListParagraph"/>
        <w:numPr>
          <w:ilvl w:val="0"/>
          <w:numId w:val="1"/>
        </w:numPr>
        <w:spacing w:after="80"/>
      </w:pPr>
      <w:r>
        <w:rPr>
          <w:rFonts w:ascii="Arial" w:cs="Arial" w:eastAsia="Arial" w:hAnsi="Arial"/>
          <w:color w:val="2D3748"/>
          <w:sz w:val="22"/>
          <w:szCs w:val="22"/>
        </w:rPr>
        <w:t xml:space="preserve">Je hebt zaterdagmiddag 4 uur vrij. Je wilt sporten, studeren én afspreken met vrienden. Ook hier: je kunt niet alles tegelijk doen.</w:t>
      </w:r>
    </w:p>
    <w:p>
      <w:pPr>
        <w:pStyle w:val="ListParagraph"/>
        <w:numPr>
          <w:ilvl w:val="0"/>
          <w:numId w:val="1"/>
        </w:numPr>
        <w:spacing w:after="80"/>
      </w:pPr>
      <w:r>
        <w:rPr>
          <w:rFonts w:ascii="Arial" w:cs="Arial" w:eastAsia="Arial" w:hAnsi="Arial"/>
          <w:color w:val="2D3748"/>
          <w:sz w:val="22"/>
          <w:szCs w:val="22"/>
        </w:rPr>
        <w:t xml:space="preserve">Je schoolrugzak zit al vol. Je moet kiezen welke map je thuis laat, want er past er maar één bij.</w:t>
      </w:r>
    </w:p>
    <w:p>
      <w:pPr>
        <w:pStyle w:val="Heading2"/>
        <w:spacing w:after="120" w:before="200"/>
      </w:pPr>
      <w:r>
        <w:rPr>
          <w:rFonts w:ascii="Arial" w:cs="Arial" w:eastAsia="Arial" w:hAnsi="Arial"/>
          <w:b/>
          <w:bCs/>
          <w:color w:val="E67E22"/>
          <w:sz w:val="24"/>
          <w:szCs w:val="24"/>
        </w:rPr>
        <w:t xml:space="preserve">Wat gebeurt er in je hoofd als je kiest?</w:t>
      </w:r>
    </w:p>
    <w:p>
      <w:pPr>
        <w:spacing w:after="120"/>
      </w:pPr>
      <w:r>
        <w:rPr>
          <w:rFonts w:ascii="Arial" w:cs="Arial" w:eastAsia="Arial" w:hAnsi="Arial"/>
          <w:color w:val="2D3748"/>
          <w:sz w:val="22"/>
          <w:szCs w:val="22"/>
        </w:rPr>
        <w:t xml:space="preserve">Meestal kijk je eerst wat je opties zijn, daarna schat je in wat elke optie je oplevert (plezier, een goed cijfer, tijd met vrienden), en ten slotte kies je de optie die je het meest waard is. Ondertussen besef je — vaak zonder het bewust uit te spreken — dat je de andere opties opgeeft. Dit gevoel van “ik kan niet alles” is de intuïtie die economen vangen in het begrip schaarste en waarmee je in §1.1.1 gaat leren rekenen via alternatieve kosten.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Maak het voor jezelf concreet: denk bij elke economische opgave eerst even aan een eigen keuze uit je dagelijks leven. Wat zijn mijn opties? Wat geef ik op? Die reflex helpt je later ook bij abstractere voorbeelden.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Kun je drie eigen voorbeelden noemen van situaties waarin je vandaag of deze week iets moest kiezen omdat tijd of geld beperkt was?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E67E22" w:sz="1"/>
              <w:left w:val="single" w:color="E67E22" w:sz="1"/>
              <w:bottom w:val="single" w:color="E67E22" w:sz="1"/>
              <w:right w:val="single" w:color="E67E22" w:sz="1"/>
            </w:tcBorders>
            <w:shd w:fill="E67E22"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E67E22"/>
                <w:sz w:val="20"/>
                <w:szCs w:val="20"/>
              </w:rPr>
              <w:t xml:space="preserve">Beperkte middelen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Geld, tijd en ruimte zijn nooit onbeperkt</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E67E22"/>
                <w:sz w:val="20"/>
                <w:szCs w:val="20"/>
              </w:rPr>
              <w:t xml:space="preserve">Keuze maken</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Opties vergelijken en de beste kiezen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E67E22"/>
                <w:sz w:val="20"/>
                <w:szCs w:val="20"/>
              </w:rPr>
              <w:t xml:space="preserve">Opgeven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Wat je niet kiest, loop je mis — dat hoort erbij</w:t>
            </w:r>
          </w:p>
        </w:tc>
      </w:tr>
    </w:tbl>
    <w:p>
      <w:r>
        <w:br w:type="page"/>
      </w:r>
    </w:p>
    <w:p>
      <w:pPr>
        <w:pStyle w:val="Heading1"/>
        <w:spacing w:after="200" w:before="0"/>
      </w:pPr>
      <w:r>
        <w:rPr>
          <w:rFonts w:ascii="Arial" w:cs="Arial" w:eastAsia="Arial" w:hAnsi="Arial"/>
          <w:b/>
          <w:bCs/>
          <w:color w:val="1E2761"/>
          <w:sz w:val="36"/>
          <w:szCs w:val="36"/>
        </w:rPr>
        <w:t xml:space="preserve">Checklist voorkennis</w:t>
      </w:r>
    </w:p>
    <w:p>
      <w:pPr>
        <w:spacing w:after="120"/>
      </w:pPr>
      <w:r>
        <w:rPr>
          <w:rFonts w:ascii="Arial" w:cs="Arial" w:eastAsia="Arial" w:hAnsi="Arial"/>
          <w:color w:val="2D3748"/>
          <w:sz w:val="22"/>
          <w:szCs w:val="22"/>
        </w:rPr>
        <w:t xml:space="preserve">Controleer of je de volgende zaken beheerst voordat je aan §1.1.1 begint:</w:t>
      </w:r>
    </w:p>
    <w:p>
      <w:pPr>
        <w:spacing w:after="100"/>
      </w:pPr>
    </w:p>
    <w:p>
      <w:pPr>
        <w:pStyle w:val="ListParagraph"/>
        <w:numPr>
          <w:ilvl w:val="0"/>
          <w:numId w:val="2"/>
        </w:numPr>
        <w:spacing w:after="80"/>
      </w:pPr>
      <w:r>
        <w:rPr>
          <w:rFonts w:ascii="Arial" w:cs="Arial" w:eastAsia="Arial" w:hAnsi="Arial"/>
          <w:sz w:val="22"/>
          <w:szCs w:val="22"/>
        </w:rPr>
        <w:t xml:space="preserve">Ik kan een bedrag-per-eenheid omzetten naar een totaal (bijvoorbeeld €500 per hectare op 10 hectare → €5.000).</w:t>
      </w:r>
    </w:p>
    <w:p>
      <w:pPr>
        <w:pStyle w:val="ListParagraph"/>
        <w:numPr>
          <w:ilvl w:val="0"/>
          <w:numId w:val="2"/>
        </w:numPr>
        <w:spacing w:after="80"/>
      </w:pPr>
      <w:r>
        <w:rPr>
          <w:rFonts w:ascii="Arial" w:cs="Arial" w:eastAsia="Arial" w:hAnsi="Arial"/>
          <w:sz w:val="22"/>
          <w:szCs w:val="22"/>
        </w:rPr>
        <w:t xml:space="preserve">Ik herken de Nederlandse notatie voor grote bedragen: €5.000 is vijfduizend euro, €5,00 is vijf euro.</w:t>
      </w:r>
    </w:p>
    <w:p>
      <w:pPr>
        <w:pStyle w:val="ListParagraph"/>
        <w:numPr>
          <w:ilvl w:val="0"/>
          <w:numId w:val="2"/>
        </w:numPr>
        <w:spacing w:after="80"/>
      </w:pPr>
      <w:r>
        <w:rPr>
          <w:rFonts w:ascii="Arial" w:cs="Arial" w:eastAsia="Arial" w:hAnsi="Arial"/>
          <w:sz w:val="22"/>
          <w:szCs w:val="22"/>
        </w:rPr>
        <w:t xml:space="preserve">Ik kan in een staafdiagram de x-as en y-as benoemen.</w:t>
      </w:r>
    </w:p>
    <w:p>
      <w:pPr>
        <w:pStyle w:val="ListParagraph"/>
        <w:numPr>
          <w:ilvl w:val="0"/>
          <w:numId w:val="2"/>
        </w:numPr>
        <w:spacing w:after="80"/>
      </w:pPr>
      <w:r>
        <w:rPr>
          <w:rFonts w:ascii="Arial" w:cs="Arial" w:eastAsia="Arial" w:hAnsi="Arial"/>
          <w:sz w:val="22"/>
          <w:szCs w:val="22"/>
        </w:rPr>
        <w:t xml:space="preserve">Ik kan de hoogte van een staaf aflezen en de eenheid erbij noemen.</w:t>
      </w:r>
    </w:p>
    <w:p>
      <w:pPr>
        <w:pStyle w:val="ListParagraph"/>
        <w:numPr>
          <w:ilvl w:val="0"/>
          <w:numId w:val="2"/>
        </w:numPr>
        <w:spacing w:after="80"/>
      </w:pPr>
      <w:r>
        <w:rPr>
          <w:rFonts w:ascii="Arial" w:cs="Arial" w:eastAsia="Arial" w:hAnsi="Arial"/>
          <w:sz w:val="22"/>
          <w:szCs w:val="22"/>
        </w:rPr>
        <w:t xml:space="preserve">Ik let op of de y-as bij 0 begint vóórdat ik conclusies trek.</w:t>
      </w:r>
    </w:p>
    <w:p>
      <w:pPr>
        <w:pStyle w:val="ListParagraph"/>
        <w:numPr>
          <w:ilvl w:val="0"/>
          <w:numId w:val="2"/>
        </w:numPr>
        <w:spacing w:after="80"/>
      </w:pPr>
      <w:r>
        <w:rPr>
          <w:rFonts w:ascii="Arial" w:cs="Arial" w:eastAsia="Arial" w:hAnsi="Arial"/>
          <w:sz w:val="22"/>
          <w:szCs w:val="22"/>
        </w:rPr>
        <w:t xml:space="preserve">Ik kan drie eigen voorbeelden noemen van kiezen bij beperkte tijd of geld.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1.1.1 Schaarste en economisch denken — Voorkennis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990c4fb103fdbf466a05bb78ed1c0568b6822f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2026-05-09T19:53:55.682Z</dcterms:created>
  <dcterms:modified xsi:type="dcterms:W3CDTF">2026-05-09T19:53:55.682Z</dcterms:modified>
</cp:coreProperties>
</file>

<file path=docProps/custom.xml><?xml version="1.0" encoding="utf-8"?>
<Properties xmlns="http://schemas.openxmlformats.org/officeDocument/2006/custom-properties" xmlns:vt="http://schemas.openxmlformats.org/officeDocument/2006/docPropsVTypes"/>
</file>