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Plan van aanpak AZWA Almere</w:t>
      </w:r>
    </w:p>
    <w:p>
      <w:r>
        <w:rPr>
          <w:b/>
        </w:rPr>
        <w:t>Conceptversie voor ambtelijke en bestuurlijke beoordeling</w:t>
      </w:r>
      <w:r>
        <w:t xml:space="preserve"> Peildatum: 22 april 2026. Bronbasis: beschikbare landelijke, regionale en lokale openbare stukken tot en met 22 april 2026.</w:t>
      </w:r>
    </w:p>
    <w:p>
      <w:pPr>
        <w:pStyle w:val="Heading2"/>
      </w:pPr>
      <w:r>
        <w:t>1. Aanleiding</w:t>
      </w:r>
    </w:p>
    <w:p>
      <w:r>
        <w:t>Met het Aanvullend Zorg- en Welzijnsakkoord (AZWA) zijn aanvullende afspraken gemaakt op het Integraal Zorgakkoord (IZA) en het Gezond en Actief Leven Akkoord (GALA). Voor gemeenten zijn vooral de uitwerking van D5 en D6 relevant: de basisfunctionaliteiten in het sociaal domein en de sociale en gezonde basisinfrastructuur.</w:t>
      </w:r>
    </w:p>
    <w:p>
      <w:r>
        <w:t>De landelijke lijn is in 2025 en 2026 verder geconcretiseerd. Daarbij zijn onder meer het definitieve AZWA van 31 augustus 2025, het CW 3.1-kader D5/D6 van 10 maart 2026, de voortgangsbrief IZA/AZWA van 9 april 2026 en de VNG-publicatie over AZWA-financiering voor gemeenten van 22 april 2026 relevant.</w:t>
      </w:r>
    </w:p>
    <w:p>
      <w:r>
        <w:t>Voor Almere betekent dit dat de aandacht verschuift naar lokale vertaling: welke onderdelen worden lokaal uitgewerkt, hoe sluiten die aan op Flevolandse afspraken, welke bestuurlijke keuzes zijn nodig en welke punten vragen nog om nadere beoordeling.</w:t>
      </w:r>
    </w:p>
    <w:p>
      <w:pPr>
        <w:pStyle w:val="Heading2"/>
      </w:pPr>
      <w:r>
        <w:t>2. Doel van dit plan</w:t>
      </w:r>
    </w:p>
    <w:p>
      <w:r>
        <w:t>Dit concept ordent de opgave voor Almere op basis van de beschikbare openbare bronnen. Het plan legt nog geen lokale keuzes vast. Het benoemt welke onderwerpen bestuurlijk en ambtelijk moeten worden uitgewerkt voordat sprake kan zijn van een vastgesteld lokaal uitvoeringskader.</w:t>
      </w:r>
    </w:p>
    <w:p>
      <w:r>
        <w:t>Het doel is om:</w:t>
      </w:r>
    </w:p>
    <w:p>
      <w:pPr>
        <w:pStyle w:val="ListBullet"/>
      </w:pPr>
      <w:r>
        <w:t>de lokale opgave rond D5 en D6 overzichtelijk te maken;</w:t>
      </w:r>
    </w:p>
    <w:p>
      <w:pPr>
        <w:pStyle w:val="ListBullet"/>
      </w:pPr>
      <w:r>
        <w:t>te onderscheiden wat uit landelijke en regionale bronnen volgt en wat lokaal nog bepaald moet worden;</w:t>
      </w:r>
    </w:p>
    <w:p>
      <w:pPr>
        <w:pStyle w:val="ListBullet"/>
      </w:pPr>
      <w:r>
        <w:t>bestuurlijke keuzevragen zichtbaar te maken;</w:t>
      </w:r>
    </w:p>
    <w:p>
      <w:pPr>
        <w:pStyle w:val="ListBullet"/>
      </w:pPr>
      <w:r>
        <w:t>de relatie met financiering, regionale samenwerking en monitoring te benoemen;</w:t>
      </w:r>
    </w:p>
    <w:p>
      <w:pPr>
        <w:pStyle w:val="ListBullet"/>
      </w:pPr>
      <w:r>
        <w:t>een basis te bieden voor verdere ambtelijke en bestuurlijke uitwerking.</w:t>
      </w:r>
    </w:p>
    <w:p>
      <w:pPr>
        <w:pStyle w:val="Heading2"/>
      </w:pPr>
      <w:r>
        <w:t>3. Bronbasis en lokale uitgangssituatie</w:t>
      </w:r>
    </w:p>
    <w:p>
      <w:r>
        <w:t>De beschikbare landelijke stukken geven een basis voor D5 en D6. De recente VNG- en VWS-documenten van 22 april 2026 maken daarnaast duidelijker dat financiering, regionale werkagenda en gemeentelijke uitwerking met elkaar samenhangen.</w:t>
      </w:r>
    </w:p>
    <w:p>
      <w:r>
        <w:t>De beschikbare Almeerse stukken bieden aanknopingspunten voor gezondheid, preventie, sociaal domein en Positief Gezond Almere. Het gaat onder meer om de Visie Gezondheidsbeleid Almere 2024-2026, de Maatschappelijke agenda 2024-2034, het Transformatieplan Positief Gezond Almere, de SEO-businesscase, de informatiepagina Sociaal Domein en informatie over de Sociale staat van Almere.</w:t>
      </w:r>
    </w:p>
    <w:p>
      <w:r>
        <w:t>In die openbare stukken is nog niet volledig uitgewerkt hoe Almere D5 en D6 als lokaal AZWA-kader wil vertalen. Daardoor ligt de opgave vooral in het expliciteren van lokale keuzes, rolverdeling, middelen, regionale aansluiting en monitoring.</w:t>
      </w:r>
    </w:p>
    <w:p>
      <w:pPr>
        <w:pStyle w:val="Heading2"/>
      </w:pPr>
      <w:r>
        <w:t>4. Lokale opgave</w:t>
      </w:r>
    </w:p>
    <w:p>
      <w:r>
        <w:t>Op basis van de beschikbare stukken komen vier lokale uitwerkingsvragen naar voren.</w:t>
      </w:r>
    </w:p>
    <w:p>
      <w:pPr>
        <w:pStyle w:val="ListNumber"/>
      </w:pPr>
      <w:r>
        <w:t>Hoe vertaalt Almere de landelijke D5-basisfunctionaliteiten naar lokale prioriteiten, doelgroepen en aanpakken?</w:t>
      </w:r>
    </w:p>
    <w:p>
      <w:pPr>
        <w:pStyle w:val="ListNumber"/>
      </w:pPr>
      <w:r>
        <w:t>Hoe beschrijft Almere de lokale D6-structuur, waaronder lokale teams, wijkverbanden en aansluiting op de sociale en gezonde basisinfrastructuur?</w:t>
      </w:r>
    </w:p>
    <w:p>
      <w:pPr>
        <w:pStyle w:val="ListNumber"/>
      </w:pPr>
      <w:r>
        <w:t>Hoe wordt de inzet van beschikbare en verwachte middelen lokaal en regionaal verbonden aan D5 en D6?</w:t>
      </w:r>
    </w:p>
    <w:p>
      <w:pPr>
        <w:pStyle w:val="ListNumber"/>
      </w:pPr>
      <w:r>
        <w:t>Hoe sluit Almere lokale monitoring aan op regionale en landelijke voortgangs- en evaluatiemomenten?</w:t>
      </w:r>
    </w:p>
    <w:p>
      <w:r>
        <w:t>Deze vragen zijn nog geen besluiten. Ze markeren de onderdelen die bestuurlijk en ambtelijk moeten worden ingevuld.</w:t>
      </w:r>
    </w:p>
    <w:p>
      <w:pPr>
        <w:pStyle w:val="Heading2"/>
      </w:pPr>
      <w:r>
        <w:t>5. Afbakening</w:t>
      </w:r>
    </w:p>
    <w:p>
      <w:r>
        <w:t>Dit concept richt zich op D5 en D6. Die afbakening sluit aan bij de beschikbare landelijke uitwerking en de recente financieringsinformatie voor gemeenten.</w:t>
      </w:r>
    </w:p>
    <w:p>
      <w:r>
        <w:t>Binnen scope vallen:</w:t>
      </w:r>
    </w:p>
    <w:p>
      <w:pPr>
        <w:pStyle w:val="ListBullet"/>
      </w:pPr>
      <w:r>
        <w:t>lokale vertaling van D5;</w:t>
      </w:r>
    </w:p>
    <w:p>
      <w:pPr>
        <w:pStyle w:val="ListBullet"/>
      </w:pPr>
      <w:r>
        <w:t>lokale en regionale uitwerking van D6;</w:t>
      </w:r>
    </w:p>
    <w:p>
      <w:pPr>
        <w:pStyle w:val="ListBullet"/>
      </w:pPr>
      <w:r>
        <w:t>bestuurlijke rolverdeling en samenwerking;</w:t>
      </w:r>
    </w:p>
    <w:p>
      <w:pPr>
        <w:pStyle w:val="ListBullet"/>
      </w:pPr>
      <w:r>
        <w:t>relatie met regionale werkagenda en Flevolandse afspraken;</w:t>
      </w:r>
    </w:p>
    <w:p>
      <w:pPr>
        <w:pStyle w:val="ListBullet"/>
      </w:pPr>
      <w:r>
        <w:t>financieringsroute en middelen als aandachtspunt;</w:t>
      </w:r>
    </w:p>
    <w:p>
      <w:pPr>
        <w:pStyle w:val="ListBullet"/>
      </w:pPr>
      <w:r>
        <w:t>monitoring en verantwoording als uitwerkingsvraag.</w:t>
      </w:r>
    </w:p>
    <w:p>
      <w:r>
        <w:t>Buiten scope vallen:</w:t>
      </w:r>
    </w:p>
    <w:p>
      <w:pPr>
        <w:pStyle w:val="ListBullet"/>
      </w:pPr>
      <w:r>
        <w:t>individuele contractering;</w:t>
      </w:r>
    </w:p>
    <w:p>
      <w:pPr>
        <w:pStyle w:val="ListBullet"/>
      </w:pPr>
      <w:r>
        <w:t>zelfstandige vaststelling van landelijke normen;</w:t>
      </w:r>
    </w:p>
    <w:p>
      <w:pPr>
        <w:pStyle w:val="ListBullet"/>
      </w:pPr>
      <w:r>
        <w:t>concrete personele inzet;</w:t>
      </w:r>
    </w:p>
    <w:p>
      <w:pPr>
        <w:pStyle w:val="ListBullet"/>
      </w:pPr>
      <w:r>
        <w:t>lokale budgetverdeling;</w:t>
      </w:r>
    </w:p>
    <w:p>
      <w:pPr>
        <w:pStyle w:val="ListBullet"/>
      </w:pPr>
      <w:r>
        <w:t>definitieve interne planning;</w:t>
      </w:r>
    </w:p>
    <w:p>
      <w:pPr>
        <w:pStyle w:val="ListBullet"/>
      </w:pPr>
      <w:r>
        <w:t>keuzes die niet uit de openbare bronbasis volgen.</w:t>
      </w:r>
    </w:p>
    <w:p>
      <w:pPr>
        <w:pStyle w:val="Heading2"/>
      </w:pPr>
      <w:r>
        <w:t>6. Te maken bestuurlijke keuzes</w:t>
      </w:r>
    </w:p>
    <w:p>
      <w:r>
        <w:t>De beschikbare bronnen wijzen op een aantal onderwerpen waar lokale besluitvorming of nadere bestuurlijke richting nodig kan zijn. De precieze besluitvormingsroute moet door Almere zelf worden bepaald.</w:t>
      </w:r>
    </w:p>
    <w:p>
      <w:r>
        <w:t>Te beoordelen keuzevragen zijn:</w:t>
      </w:r>
    </w:p>
    <w:p>
      <w:pPr>
        <w:pStyle w:val="ListBullet"/>
      </w:pPr>
      <w:r>
        <w:t>welke D5-onderdelen Almere als eerste lokaal wil uitwerken;</w:t>
      </w:r>
    </w:p>
    <w:p>
      <w:pPr>
        <w:pStyle w:val="ListBullet"/>
      </w:pPr>
      <w:r>
        <w:t>hoe Almere D6 bestuurlijk en organisatorisch wil positioneren;</w:t>
      </w:r>
    </w:p>
    <w:p>
      <w:pPr>
        <w:pStyle w:val="ListBullet"/>
      </w:pPr>
      <w:r>
        <w:t>hoe lokale en regionale verantwoordelijkheden worden verdeeld;</w:t>
      </w:r>
    </w:p>
    <w:p>
      <w:pPr>
        <w:pStyle w:val="ListBullet"/>
      </w:pPr>
      <w:r>
        <w:t>hoe beschikbare of verwachte middelen worden verbonden aan lokale en regionale inzet;</w:t>
      </w:r>
    </w:p>
    <w:p>
      <w:pPr>
        <w:pStyle w:val="ListBullet"/>
      </w:pPr>
      <w:r>
        <w:t>welke informatie nodig is om voortgang, effecten en afhankelijkheden te volgen;</w:t>
      </w:r>
    </w:p>
    <w:p>
      <w:pPr>
        <w:pStyle w:val="ListBullet"/>
      </w:pPr>
      <w:r>
        <w:t>hoe de raad wordt betrokken bij keuzes over middelen, uitvoering en voortgang.</w:t>
      </w:r>
    </w:p>
    <w:p>
      <w:pPr>
        <w:pStyle w:val="Heading2"/>
      </w:pPr>
      <w:r>
        <w:t>7. Regionale samenwerking</w:t>
      </w:r>
    </w:p>
    <w:p>
      <w:r>
        <w:t>De AZWA-uitwerking voor D5 en D6 staat niet los van regionale samenwerking. De recente stukken leggen nadruk op de regionale werkagenda, de rol van gemeenten en zorgverzekeraars en de samenhang tussen lokale en regionale middelen. Daarbij moet steeds duidelijk zijn welke regionale schaal wordt bedoeld: de IZA/AZWA-regio Flevoland, de GGD-regio Flevoland, de zorgkantoorregio of een praktische subregionale aanpak.</w:t>
      </w:r>
    </w:p>
    <w:p>
      <w:r>
        <w:t>Voor Almere vraagt dit om nadere uitwerking van:</w:t>
      </w:r>
    </w:p>
    <w:p>
      <w:pPr>
        <w:pStyle w:val="ListBullet"/>
      </w:pPr>
      <w:r>
        <w:t>de aansluiting op de IZA/AZWA-regio Flevoland;</w:t>
      </w:r>
    </w:p>
    <w:p>
      <w:pPr>
        <w:pStyle w:val="ListBullet"/>
      </w:pPr>
      <w:r>
        <w:t>de formele rol van de mandaatgemeente waar dat voor middelen of verantwoording relevant is;</w:t>
      </w:r>
    </w:p>
    <w:p>
      <w:pPr>
        <w:pStyle w:val="ListBullet"/>
      </w:pPr>
      <w:r>
        <w:t>de praktische taakverdeling voor coordinatie, uitvoering en subregionale onderdelen;</w:t>
      </w:r>
    </w:p>
    <w:p>
      <w:pPr>
        <w:pStyle w:val="ListBullet"/>
      </w:pPr>
      <w:r>
        <w:t>de verhouding tussen lokale uitvoering en regionale afspraken;</w:t>
      </w:r>
    </w:p>
    <w:p>
      <w:pPr>
        <w:pStyle w:val="ListBullet"/>
      </w:pPr>
      <w:r>
        <w:t>de betrokkenheid van zorg- en welzijnspartijen;</w:t>
      </w:r>
    </w:p>
    <w:p>
      <w:pPr>
        <w:pStyle w:val="ListBullet"/>
      </w:pPr>
      <w:r>
        <w:t>de wijze waarop lokale keuzes herkenbaar terugkomen in regionale documenten.</w:t>
      </w:r>
    </w:p>
    <w:p>
      <w:r>
        <w:t>Dit plan vult die rolverdeling niet zelf in. De rolverdeling moet bestuurlijk en ambtelijk worden vastgesteld.</w:t>
      </w:r>
    </w:p>
    <w:p>
      <w:pPr>
        <w:pStyle w:val="Heading2"/>
      </w:pPr>
      <w:r>
        <w:t>8. Financiering en middelen</w:t>
      </w:r>
    </w:p>
    <w:p>
      <w:r>
        <w:t>De landelijke bekostigingsroute voor gemeenten is nog in uitwerking. De beschikbare bronnen wijzen op betrokkenheid van VNG, fondsbeheerders en VWS, op de voorziene AZWA-SPUK voor 2027-2029 en op de koppeling tussen middelen en regionale werkagenda.</w:t>
      </w:r>
    </w:p>
    <w:p>
      <w:r>
        <w:t>Voor Almere betekent dit dat financiele uitwerking nodig is, maar dat dit concept geen lokale bedragen, verdeelsleutels of scenario's vaststelt. Te bepalen is:</w:t>
      </w:r>
    </w:p>
    <w:p>
      <w:pPr>
        <w:pStyle w:val="ListBullet"/>
      </w:pPr>
      <w:r>
        <w:t>welke landelijke en regionale middelen voor Almere relevant zijn;</w:t>
      </w:r>
    </w:p>
    <w:p>
      <w:pPr>
        <w:pStyle w:val="ListBullet"/>
      </w:pPr>
      <w:r>
        <w:t>welke voorwaarden gelden voor inzet of aanvraag van middelen;</w:t>
      </w:r>
    </w:p>
    <w:p>
      <w:pPr>
        <w:pStyle w:val="ListBullet"/>
      </w:pPr>
      <w:r>
        <w:t>hoe lokale en regionale middelen van elkaar worden onderscheiden;</w:t>
      </w:r>
    </w:p>
    <w:p>
      <w:pPr>
        <w:pStyle w:val="ListBullet"/>
      </w:pPr>
      <w:r>
        <w:t>welke financiele informatie nodig is voor begroting, besluitvorming en verantwoording;</w:t>
      </w:r>
    </w:p>
    <w:p>
      <w:pPr>
        <w:pStyle w:val="ListBullet"/>
      </w:pPr>
      <w:r>
        <w:t>welke lokale scenario's of keuzes ambtelijk en bestuurlijk moeten worden voorbereid.</w:t>
      </w:r>
    </w:p>
    <w:p>
      <w:pPr>
        <w:pStyle w:val="Heading2"/>
      </w:pPr>
      <w:r>
        <w:t>9. Planning en externe ijkmomenten</w:t>
      </w:r>
    </w:p>
    <w:p>
      <w:r>
        <w:t>De beschikbare bronnen bevatten verschillende externe ijkmomenten. Deze kunnen relevant zijn voor de lokale planning, maar bepalen niet automatisch de interne planning van Almere.</w:t>
      </w:r>
    </w:p>
    <w:p>
      <w:r>
        <w:t>Brongebaseerde ijkmomenten zijn onder meer:</w:t>
      </w:r>
    </w:p>
    <w:p>
      <w:pPr>
        <w:pStyle w:val="ListBullet"/>
      </w:pPr>
      <w:r>
        <w:t>de VNG- en VWS-publicaties van 22 april 2026 over AZWA-financiering en werkagenda;</w:t>
      </w:r>
    </w:p>
    <w:p>
      <w:pPr>
        <w:pStyle w:val="ListBullet"/>
      </w:pPr>
      <w:r>
        <w:t>het webinar van 23 april 2026 over AZWA-middelen en regionale werkagenda;</w:t>
      </w:r>
    </w:p>
    <w:p>
      <w:pPr>
        <w:pStyle w:val="ListBullet"/>
      </w:pPr>
      <w:r>
        <w:t>de landelijke thematafel Medisch-Sociaal en Preventie van 26 mei 2026;</w:t>
      </w:r>
    </w:p>
    <w:p>
      <w:pPr>
        <w:pStyle w:val="ListBullet"/>
      </w:pPr>
      <w:r>
        <w:t>de praktische voorbereiding richting een regionale werkagenda in 2026;</w:t>
      </w:r>
    </w:p>
    <w:p>
      <w:pPr>
        <w:pStyle w:val="ListBullet"/>
      </w:pPr>
      <w:r>
        <w:t>de vaststellingstermijn van 15 november 2026 voor de regionale werkagenda;</w:t>
      </w:r>
    </w:p>
    <w:p>
      <w:pPr>
        <w:pStyle w:val="ListBullet"/>
      </w:pPr>
      <w:r>
        <w:t>de voorziene AZWA-SPUK voor 2027-2029;</w:t>
      </w:r>
    </w:p>
    <w:p>
      <w:pPr>
        <w:pStyle w:val="ListBullet"/>
      </w:pPr>
      <w:r>
        <w:t>evaluatie- en herijkingsmomenten richting 2028;</w:t>
      </w:r>
    </w:p>
    <w:p>
      <w:pPr>
        <w:pStyle w:val="ListBullet"/>
      </w:pPr>
      <w:r>
        <w:t>de landelijke ambitie richting 2030.</w:t>
      </w:r>
    </w:p>
    <w:p>
      <w:r>
        <w:t>De interne planning voor Almere moet nog worden bepaald. Daarbij moet worden vastgesteld welke producten nodig zijn, wie daarvoor verantwoordelijk is en via welke bestuurlijke route besluitvorming plaatsvindt.</w:t>
      </w:r>
    </w:p>
    <w:p>
      <w:pPr>
        <w:pStyle w:val="Heading2"/>
      </w:pPr>
      <w:r>
        <w:t>10. Capaciteit en organisatie</w:t>
      </w:r>
    </w:p>
    <w:p>
      <w:r>
        <w:t>De beschikbare openbare stukken geven geen concrete onderbouwing voor de benodigde personele inzet in Almere. Dit plan noemt daarom geen fte's of capaciteitsverdeling.</w:t>
      </w:r>
    </w:p>
    <w:p>
      <w:r>
        <w:t>Te bepalen is welke capaciteit nodig is voor:</w:t>
      </w:r>
    </w:p>
    <w:p>
      <w:pPr>
        <w:pStyle w:val="ListBullet"/>
      </w:pPr>
      <w:r>
        <w:t>bestuurlijke en ambtelijke coordinatie;</w:t>
      </w:r>
    </w:p>
    <w:p>
      <w:pPr>
        <w:pStyle w:val="ListBullet"/>
      </w:pPr>
      <w:r>
        <w:t>beleidsuitwerking sociaal domein en gezondheid;</w:t>
      </w:r>
    </w:p>
    <w:p>
      <w:pPr>
        <w:pStyle w:val="ListBullet"/>
      </w:pPr>
      <w:r>
        <w:t>financiele uitwerking;</w:t>
      </w:r>
    </w:p>
    <w:p>
      <w:pPr>
        <w:pStyle w:val="ListBullet"/>
      </w:pPr>
      <w:r>
        <w:t>regionale afstemming;</w:t>
      </w:r>
    </w:p>
    <w:p>
      <w:pPr>
        <w:pStyle w:val="ListBullet"/>
      </w:pPr>
      <w:r>
        <w:t>monitoring;</w:t>
      </w:r>
    </w:p>
    <w:p>
      <w:pPr>
        <w:pStyle w:val="ListBullet"/>
      </w:pPr>
      <w:r>
        <w:t>communicatie en participatie.</w:t>
      </w:r>
    </w:p>
    <w:p>
      <w:r>
        <w:t>Ook moet worden bepaald welk deel daarvan binnen bestaande capaciteit, regionale samenwerking of aanvullende inzet kan worden georganiseerd.</w:t>
      </w:r>
    </w:p>
    <w:p>
      <w:pPr>
        <w:pStyle w:val="Heading2"/>
      </w:pPr>
      <w:r>
        <w:t>11. Monitoring en verantwoording</w:t>
      </w:r>
    </w:p>
    <w:p>
      <w:r>
        <w:t>De landelijke stukken leggen nadruk op monitoring, leren en bijsturing. Voor Almere is nog te bepalen hoe lokale voortgang wordt gevolgd en hoe die wordt verbonden met regionale en landelijke cycli.</w:t>
      </w:r>
    </w:p>
    <w:p>
      <w:r>
        <w:t>Te beoordelen vragen zijn:</w:t>
      </w:r>
    </w:p>
    <w:p>
      <w:pPr>
        <w:pStyle w:val="ListBullet"/>
      </w:pPr>
      <w:r>
        <w:t>welke indicatoren lokaal nodig zijn;</w:t>
      </w:r>
    </w:p>
    <w:p>
      <w:pPr>
        <w:pStyle w:val="ListBullet"/>
      </w:pPr>
      <w:r>
        <w:t>welke informatie al beschikbaar is;</w:t>
      </w:r>
    </w:p>
    <w:p>
      <w:pPr>
        <w:pStyle w:val="ListBullet"/>
      </w:pPr>
      <w:r>
        <w:t>hoe lokale monitoring aansluit op Flevolandse en landelijke afspraken;</w:t>
      </w:r>
    </w:p>
    <w:p>
      <w:pPr>
        <w:pStyle w:val="ListBullet"/>
      </w:pPr>
      <w:r>
        <w:t>hoe de raad over voortgang wordt geinformeerd;</w:t>
      </w:r>
    </w:p>
    <w:p>
      <w:pPr>
        <w:pStyle w:val="ListBullet"/>
      </w:pPr>
      <w:r>
        <w:t>hoe open punten en afhankelijkheden zichtbaar blijven.</w:t>
      </w:r>
    </w:p>
    <w:p>
      <w:r>
        <w:t>Dit concept stelt nog geen KPI-set of rapportageritme vast.</w:t>
      </w:r>
    </w:p>
    <w:p>
      <w:pPr>
        <w:pStyle w:val="Heading2"/>
      </w:pPr>
      <w:r>
        <w:t>12. Aandachtspunten en afhankelijkheden</w:t>
      </w:r>
    </w:p>
    <w:p>
      <w:r>
        <w:t>Voor verdere uitwerking zijn in ieder geval de volgende aandachtspunten relevant:</w:t>
      </w:r>
    </w:p>
    <w:p>
      <w:pPr>
        <w:pStyle w:val="ListBullet"/>
      </w:pPr>
      <w:r>
        <w:t>de landelijke bekostigingsroute is nog in uitwerking;</w:t>
      </w:r>
    </w:p>
    <w:p>
      <w:pPr>
        <w:pStyle w:val="ListBullet"/>
      </w:pPr>
      <w:r>
        <w:t>de regionale werkagenda is bepalend voor de verbinding tussen inhoud en middelen;</w:t>
      </w:r>
    </w:p>
    <w:p>
      <w:pPr>
        <w:pStyle w:val="ListBullet"/>
      </w:pPr>
      <w:r>
        <w:t>lokale en regionale verantwoordelijkheden moeten helder worden onderscheiden;</w:t>
      </w:r>
    </w:p>
    <w:p>
      <w:pPr>
        <w:pStyle w:val="ListBullet"/>
      </w:pPr>
      <w:r>
        <w:t>het gebruik van termen als lokale teams, wijkverbanden en basisinfrastructuur vraagt om eenduidige lokale duiding;</w:t>
      </w:r>
    </w:p>
    <w:p>
      <w:pPr>
        <w:pStyle w:val="ListBullet"/>
      </w:pPr>
      <w:r>
        <w:t>de beschikbare Almeerse stukken bieden aanknopingspunten, maar nog geen volledig expliciet AZWA-D5/D6-kader;</w:t>
      </w:r>
    </w:p>
    <w:p>
      <w:pPr>
        <w:pStyle w:val="ListBullet"/>
      </w:pPr>
      <w:r>
        <w:t>interne planning, capaciteit en producten moeten nog door Almere worden bepaald.</w:t>
      </w:r>
    </w:p>
    <w:p>
      <w:r>
        <w:t>Deze aandachtspunten zijn bedoeld als basis voor beoordeling en besluitvorming. Ze zijn geen vastgestelde beheersmaatregelen.</w:t>
      </w:r>
    </w:p>
    <w:p>
      <w:pPr>
        <w:pStyle w:val="Heading2"/>
      </w:pPr>
      <w:r>
        <w:t>13. Vervolgstappen ter beoordeling</w:t>
      </w:r>
    </w:p>
    <w:p>
      <w:r>
        <w:t>Voor de verdere uitwerking ligt het voor de hand om ambtelijk en bestuurlijk te bepalen:</w:t>
      </w:r>
    </w:p>
    <w:p>
      <w:pPr>
        <w:pStyle w:val="ListBullet"/>
      </w:pPr>
      <w:r>
        <w:t>welke lokale D5- en D6-keuzes eerst moeten worden voorbereid;</w:t>
      </w:r>
    </w:p>
    <w:p>
      <w:pPr>
        <w:pStyle w:val="ListBullet"/>
      </w:pPr>
      <w:r>
        <w:t>welke regionale afspraken relevant zijn voor Almere;</w:t>
      </w:r>
    </w:p>
    <w:p>
      <w:pPr>
        <w:pStyle w:val="ListBullet"/>
      </w:pPr>
      <w:r>
        <w:t>welke financiele informatie nodig is voor besluitvorming;</w:t>
      </w:r>
    </w:p>
    <w:p>
      <w:pPr>
        <w:pStyle w:val="ListBullet"/>
      </w:pPr>
      <w:r>
        <w:t>welke lokale documenten of besluiten nodig zijn om de AZWA-uitwerking openbaar en bestuurlijk herkenbaar te maken;</w:t>
      </w:r>
    </w:p>
    <w:p>
      <w:pPr>
        <w:pStyle w:val="ListBullet"/>
      </w:pPr>
      <w:r>
        <w:t>hoe de raad, regionale partners en uitvoeringspartijen worden betrokken.</w:t>
      </w:r>
    </w:p>
    <w:p>
      <w:r>
        <w:t>De uitkomst van die beoordeling bepaalt of en hoe dit concept wordt omgezet in een vastgesteld lokaal plan van aanpak.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