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8" w:space="5" w:color="A6B8D6"/>
        </w:pBdr>
      </w:pPr>
      <w:r>
        <w:t>Eerste contactnotitie - Overgewicht en obesitas volwassenen Almere</w:t>
      </w:r>
    </w:p>
    <w:p>
      <w:pPr>
        <w:pStyle w:val="Subtitle"/>
      </w:pPr>
      <w:r>
        <w:t>AZWA/D5-werkagenda | eerste afstemming beleidsmakers | layoutversie v3</w:t>
      </w:r>
    </w:p>
    <w:p>
      <w:pPr>
        <w:shd w:fill="F8FAFC"/>
        <w:pBdr>
          <w:left w:val="single" w:sz="18" w:space="6" w:color="1F4E79"/>
        </w:pBdr>
      </w:pPr>
      <w:r>
        <w:rPr>
          <w:b/>
          <w:color w:val="1F4E79"/>
          <w:sz w:val="22"/>
        </w:rPr>
        <w:t>Onderwerp:</w:t>
      </w:r>
      <w:r>
        <w:t xml:space="preserve"> Ketenaanpak overgewicht en obesitas volwassenen als D5-onderdeel voor Almere.</w:t>
      </w:r>
    </w:p>
    <w:p>
      <w:pPr>
        <w:shd w:fill="F8FAFC"/>
      </w:pPr>
      <w:r>
        <w:rPr>
          <w:b/>
          <w:color w:val="1F4E79"/>
          <w:sz w:val="22"/>
        </w:rPr>
        <w:t>Doelgroep:</w:t>
      </w:r>
      <w:r>
        <w:t xml:space="preserve"> Beleidsmakers en ambtelijke aanspreekpunten die input voorbereiden voor het regionale proces.</w:t>
      </w:r>
    </w:p>
    <w:p>
      <w:pPr>
        <w:shd w:fill="F8FAFC"/>
      </w:pPr>
      <w:r>
        <w:rPr>
          <w:b/>
          <w:color w:val="1F4E79"/>
          <w:sz w:val="22"/>
        </w:rPr>
        <w:t>Hoofddatum:</w:t>
      </w:r>
      <w:r>
        <w:t xml:space="preserve"> 15 september 2026: gemeentelijke input van Almere moet rond die datum gereed zijn voor aanlevering aan de regio.</w:t>
      </w:r>
    </w:p>
    <w:p>
      <w:pPr>
        <w:shd w:fill="F8FAFC"/>
      </w:pPr>
      <w:r>
        <w:rPr>
          <w:b/>
          <w:color w:val="1F4E79"/>
          <w:sz w:val="22"/>
        </w:rPr>
        <w:t>Regionaal vervolg:</w:t>
      </w:r>
      <w:r>
        <w:t xml:space="preserve"> 15 november 2026 is de latere datum voor regionale collegevaststelling en is vooral relevant voor coordinatie en consolidatie.</w:t>
      </w:r>
    </w:p>
    <w:p>
      <w:pPr>
        <w:pStyle w:val="Heading1"/>
        <w:shd w:fill="F3F7FB"/>
        <w:pBdr>
          <w:left w:val="single" w:sz="18" w:space="6" w:color="1F4E79"/>
        </w:pBdr>
      </w:pPr>
      <w:r>
        <w:t>Kernboodschap</w:t>
      </w:r>
    </w:p>
    <w:p>
      <w:pPr>
        <w:shd w:fill="F3F7FB"/>
        <w:pBdr>
          <w:left w:val="single" w:sz="18" w:space="6" w:color="1F4E79"/>
        </w:pBdr>
      </w:pPr>
      <w:r>
        <w:rPr>
          <w:sz w:val="22"/>
        </w:rPr>
        <w:t>Dit onderdeel heeft al duidelijke huidige informatie: GGD-indicatoren laten urgentie zien en de landelijke richting noemt GLI, beweegaanbod, centrale zorgcoordinatie en sociaal-domeinondersteuning.</w:t>
      </w:r>
    </w:p>
    <w:p>
      <w:pPr>
        <w:shd w:fill="F3F7FB"/>
        <w:pBdr>
          <w:left w:val="single" w:sz="18" w:space="6" w:color="1F4E79"/>
        </w:pBdr>
      </w:pPr>
      <w:r>
        <w:rPr>
          <w:sz w:val="22"/>
        </w:rPr>
        <w:t>Voor 15 september is vooral bevestiging nodig van eigenaar, lokale inrichting, GLI-capaciteit, centrale zorgcoordinatie, financieringsroute en monitoring.</w:t>
      </w:r>
    </w:p>
    <w:p>
      <w:pPr>
        <w:shd w:fill="F3F7FB"/>
        <w:pBdr>
          <w:left w:val="single" w:sz="18" w:space="6" w:color="1F4E79"/>
        </w:pBdr>
      </w:pPr>
      <w:r>
        <w:rPr>
          <w:sz w:val="22"/>
        </w:rPr>
        <w:t>De huidige informatie is geschikt voor eerste conceptinput, maar nog niet voor een afgeronde werkagendapositie.</w:t>
      </w:r>
    </w:p>
    <w:p>
      <w:pPr>
        <w:pStyle w:val="Heading1"/>
      </w:pPr>
      <w:r>
        <w:t>Doel van deze notitie</w:t>
      </w:r>
    </w:p>
    <w:p>
      <w:pPr/>
      <w:r>
        <w:t>Deze notitie is bedoeld als eerste afstemming over de ketenaanpak overgewicht en obesitas volwassenen binnen de AZWA/D5-werkagenda voor Almere. Het doel is niet om nu al alle details uit te vragen, maar om vroeg te bepalen:</w:t>
      </w:r>
    </w:p>
    <w:p>
      <w:pPr>
        <w:pStyle w:val="ListNumber"/>
        <w:ind w:left="490" w:hanging="288"/>
      </w:pPr>
      <w:r>
        <w:t>wie hiervoor bestuurlijk/ambtelijk aanspreekbaar is;</w:t>
      </w:r>
    </w:p>
    <w:p>
      <w:pPr>
        <w:pStyle w:val="ListNumber"/>
        <w:ind w:left="490" w:hanging="288"/>
      </w:pPr>
      <w:r>
        <w:t>welke onderdelen al lokaal zijn ingericht;</w:t>
      </w:r>
    </w:p>
    <w:p>
      <w:pPr>
        <w:pStyle w:val="ListNumber"/>
        <w:ind w:left="490" w:hanging="288"/>
      </w:pPr>
      <w:r>
        <w:t>welke besluiten of validaties nodig zijn voordat dit onderdeel werkagenda-gereed is.</w:t>
      </w:r>
    </w:p>
    <w:p>
      <w:pPr>
        <w:pStyle w:val="Heading1"/>
      </w:pPr>
      <w:r>
        <w:t>1. Waarom dit onderwerp nu relevant is</w:t>
      </w:r>
    </w:p>
    <w:p>
      <w:pPr/>
      <w:r>
        <w:t>De aanpak overgewicht en obesitas volwassenen is een D5-onderdeel waar zorg, preventie, bewegen en sociaal domein bij elkaar komen. Voor Almere is er duidelijke huidige informatie over de opgave, maar nog onvoldoende bevestigde informatie over GLI-capaciteit, centrale zorgcoordinatie, wijkgerichte uitvoering, financiering en monitoring.</w:t>
      </w:r>
    </w:p>
    <w:p>
      <w:pPr/>
      <w:r>
        <w:t>Voor de gemeente is vooral 15 september 2026 belangrijk. Rond die datum moet Almere voldoende input kunnen aanleveren aan het regionale proces, zodat de regionale coordinatie daarna kan consolideren richting de latere collegevaststelling.</w:t>
      </w:r>
    </w:p>
    <w:p>
      <w:pPr>
        <w:pStyle w:val="Heading1"/>
      </w:pPr>
      <w:r>
        <w:t>2. Huidige informatie: urgentie en richting</w:t>
      </w:r>
    </w:p>
    <w:p>
      <w:pPr/>
      <w:r>
        <w:t>De beschikbare informatie geeft al een bruikbare eerste onderbouwing. Die informatie zegt vooral iets over de opgave en de gewenste bouwstenen; zij bevestigt nog niet dat capaciteit, eigenaarschap of financiering lokaal geregeld zijn.</w:t>
      </w:r>
    </w:p>
    <w:p>
      <w:pPr>
        <w:pStyle w:val="ListBullet"/>
        <w:ind w:left="432" w:hanging="259"/>
      </w:pPr>
      <w:r>
        <w:t>Voor volwassenen van 18-64 jaar in Almere geeft GGD Flevoland 37% matig overgewicht en 21% ernstig overgewicht/obesitas.</w:t>
      </w:r>
    </w:p>
    <w:p>
      <w:pPr>
        <w:pStyle w:val="ListBullet"/>
        <w:ind w:left="432" w:hanging="259"/>
      </w:pPr>
      <w:r>
        <w:t>Van dezelfde groep voldoet 47% aan de beweegrichtlijn. Dit is bruikbaar als huidige informatie voor urgentie en prioritering.</w:t>
      </w:r>
    </w:p>
    <w:p>
      <w:pPr>
        <w:pStyle w:val="ListBullet"/>
        <w:ind w:left="432" w:hanging="259"/>
      </w:pPr>
      <w:r>
        <w:t>De gevraagde aanpak vraagt samenhang tussen centrale zorgcoordinatie, beweegaanbod, gezondheidsvaardigheden/leefstijl, individuele ondersteuning in het sociaal domein en GLI.</w:t>
      </w:r>
    </w:p>
    <w:p>
      <w:pPr>
        <w:pStyle w:val="ListBullet"/>
        <w:ind w:left="432" w:hanging="259"/>
      </w:pPr>
      <w:r>
        <w:t>Het Almere GALA-plan noemt Flevoland Gezond en Wel als preventiecoalitie die regionale ketenaanpakken ondersteunt, waaronder de gecombineerde leefstijlinterventie voor volwassenen.</w:t>
      </w:r>
    </w:p>
    <w:p>
      <w:pPr>
        <w:pStyle w:val="ListBullet"/>
        <w:ind w:left="432" w:hanging="259"/>
      </w:pPr>
      <w:r>
        <w:t>De beschikbare financiele richting wijst op een mix van Zvw, gemeentelijke AZWA/SPUK-lijnen en bestaande GALA-middelen die apart moeten blijven om dubbeltelling te voorkomen.</w:t>
      </w:r>
    </w:p>
    <w:p>
      <w:pPr>
        <w:pStyle w:val="Heading1"/>
      </w:pPr>
      <w:r>
        <w:t>3. Partijen die al in beeld zijn</w:t>
      </w:r>
    </w:p>
    <w:p>
      <w:pPr/>
      <w:r>
        <w:t>De volgende partijen of rollen zijn logisch of al genoemd in de huidige informatie. Dit is voldoende voor eerste contact, maar nog geen bevestigde taakverdeling.</w:t>
      </w:r>
    </w:p>
    <w:p>
      <w:pPr/>
      <w:r>
        <w:rPr>
          <w:b/>
          <w:color w:val="1F4E79"/>
          <w:sz w:val="22"/>
        </w:rPr>
        <w:t>Gemeente Almere:</w:t>
      </w:r>
      <w:r>
        <w:t xml:space="preserve"> lokale preventie, sociaal domein, bewegen en gemeentelijke middelen kunnen relevant zijn. Nog te bevestigen: wie eigenaar is voor AZWA/D5 en welke beleidslijn leidend is.</w:t>
      </w:r>
    </w:p>
    <w:p>
      <w:pPr/>
      <w:r>
        <w:rPr>
          <w:b/>
          <w:color w:val="1F4E79"/>
          <w:sz w:val="22"/>
        </w:rPr>
        <w:t>Zorgverzekeraar:</w:t>
      </w:r>
      <w:r>
        <w:t xml:space="preserve"> nodig vanwege Zvw/GLI en regionale afspraken. Nog te bevestigen: contractering, rol in centrale zorgcoordinatie en afbakening met gemeentelijke inzet.</w:t>
      </w:r>
    </w:p>
    <w:p>
      <w:pPr/>
      <w:r>
        <w:rPr>
          <w:b/>
          <w:color w:val="1F4E79"/>
          <w:sz w:val="22"/>
        </w:rPr>
        <w:t>Eerstelijn en leefstijlcoaches:</w:t>
      </w:r>
      <w:r>
        <w:t xml:space="preserve"> logische uitvoeringspartners voor signalering, GLI en leefstijlroute. Nog te bevestigen: actuele capaciteit, dekking en wachttijden in Almere.</w:t>
      </w:r>
    </w:p>
    <w:p>
      <w:pPr/>
      <w:r>
        <w:rPr>
          <w:b/>
          <w:color w:val="1F4E79"/>
          <w:sz w:val="22"/>
        </w:rPr>
        <w:t>Beweegaanbieders en sociaal domein:</w:t>
      </w:r>
      <w:r>
        <w:t xml:space="preserve"> nodig voor beweegaanbod, sociale ondersteuning en wijkgerichte aansluiting. Nog te bevestigen: wijkspreiding, toegankelijkheid en aansluiting met bestaande voorzieningen.</w:t>
      </w:r>
    </w:p>
    <w:p>
      <w:pPr/>
      <w:r>
        <w:rPr>
          <w:b/>
          <w:color w:val="1F4E79"/>
          <w:sz w:val="22"/>
        </w:rPr>
        <w:t>Flevoland Gezond en Wel:</w:t>
      </w:r>
      <w:r>
        <w:t xml:space="preserve"> genoemd als regionale preventiecoalitie die ketenaanpakken ondersteunt. Nog te bevestigen: concrete rol richting Almere, regio en werkagenda-aanlevering.</w:t>
      </w:r>
    </w:p>
    <w:p>
      <w:pPr>
        <w:pStyle w:val="Heading1"/>
      </w:pPr>
      <w:r>
        <w:t>4. Waarover moet vroeg duidelijkheid komen</w:t>
      </w:r>
    </w:p>
    <w:p>
      <w:pPr>
        <w:pStyle w:val="Heading2"/>
      </w:pPr>
      <w:r>
        <w:t>Eigenaarschap en aanspreekpunt</w:t>
      </w:r>
    </w:p>
    <w:p>
      <w:pPr/>
      <w:r>
        <w:t>Wie is voor Almere het juiste aanspreekpunt voor de ketenaanpak overgewicht en obesitas volwassenen binnen AZWA/D5? De eerste stap is bevestigen wie regie voert en wie inhoudelijk moet aansluiten vanuit preventie, zorg, sport/bewegen en sociaal domein.</w:t>
      </w:r>
    </w:p>
    <w:p>
      <w:pPr>
        <w:pStyle w:val="Heading2"/>
      </w:pPr>
      <w:r>
        <w:t>Huidige lokale inrichting</w:t>
      </w:r>
    </w:p>
    <w:p>
      <w:pPr/>
      <w:r>
        <w:t>De urgentie is zichtbaar, maar voor de werkagenda moet duidelijk worden wat lokaal al structureel, projectmatig of deels is ingericht.</w:t>
      </w:r>
    </w:p>
    <w:p>
      <w:pPr>
        <w:pStyle w:val="ListBullet"/>
        <w:ind w:left="432" w:hanging="259"/>
      </w:pPr>
      <w:r>
        <w:t>beschikbare GLI-capaciteit en eventuele wachttijden;</w:t>
      </w:r>
    </w:p>
    <w:p>
      <w:pPr>
        <w:pStyle w:val="ListBullet"/>
        <w:ind w:left="432" w:hanging="259"/>
      </w:pPr>
      <w:r>
        <w:t>leefstijl- en beweegaanbod per wijk of doelgroep;</w:t>
      </w:r>
    </w:p>
    <w:p>
      <w:pPr>
        <w:pStyle w:val="ListBullet"/>
        <w:ind w:left="432" w:hanging="259"/>
      </w:pPr>
      <w:r>
        <w:t>beschikbare doorverwijsroute en aansluiting met sociaal domein;</w:t>
      </w:r>
    </w:p>
    <w:p>
      <w:pPr>
        <w:pStyle w:val="ListBullet"/>
        <w:ind w:left="432" w:hanging="259"/>
      </w:pPr>
      <w:r>
        <w:t>welke groepen regulier aanbod onvoldoende bereikt.</w:t>
      </w:r>
    </w:p>
    <w:p>
      <w:pPr>
        <w:pStyle w:val="Heading2"/>
      </w:pPr>
      <w:r>
        <w:t>Centrale zorgcoordinatie</w:t>
      </w:r>
    </w:p>
    <w:p>
      <w:pPr/>
      <w:r>
        <w:t>De aanpak vraagt duidelijkheid over centrale zorgcoordinatie. Voor eerste contact is vooral nodig wie deze functie nu invult of voorbereidt, welke schaal daarbij past en welke financieringsroute denkbaar is.</w:t>
      </w:r>
    </w:p>
    <w:p>
      <w:pPr>
        <w:pStyle w:val="Heading2"/>
      </w:pPr>
      <w:r>
        <w:t>Financiering</w:t>
      </w:r>
    </w:p>
    <w:p>
      <w:pPr/>
      <w:r>
        <w:t>Er zijn signalen voor een financieringsmix, maar die zijn nog niet genoeg voor werkagendatekst. Finance/controller moet bevestigen welke route geldt voor GLI, gemeentelijke inzet, eventuele AZWA/SPUK-inzet en bestaande GALA-middelen die apart moeten blijven.</w:t>
      </w:r>
    </w:p>
    <w:p>
      <w:pPr>
        <w:pStyle w:val="Heading2"/>
      </w:pPr>
      <w:r>
        <w:t>Monitoring en fasering richting 15 september</w:t>
      </w:r>
    </w:p>
    <w:p>
      <w:pPr/>
      <w:r>
        <w:t>GGD-indicatoren zijn bruikbaar voor de huidige opgave, maar vormen nog geen monitoringafspraak. Voor 15 september is vooral nodig welke indicatoren bestuurlijk bruikbaar zijn, wie data-eigenaar is en welke fasering richting 2027-2030 realistisch is.</w:t>
      </w:r>
    </w:p>
    <w:p>
      <w:r>
        <w:br w:type="page"/>
      </w:r>
    </w:p>
    <w:p>
      <w:pPr>
        <w:pStyle w:val="Heading1"/>
      </w:pPr>
      <w:r>
        <w:t>5. Wat we nu nog niet vragen</w:t>
      </w:r>
    </w:p>
    <w:p>
      <w:pPr/>
      <w:r>
        <w:t>Voor deze eerste ronde is geen volledige uitwerking nodig. Het gaat om richting geven en voorkomen dat Almere te laat ontdekt dat een cruciale keuze of bevestiging ontbreekt.</w:t>
      </w:r>
    </w:p>
    <w:p>
      <w:pPr>
        <w:pStyle w:val="ListBullet"/>
        <w:ind w:left="432" w:hanging="259"/>
      </w:pPr>
      <w:r>
        <w:t>geen volledige capaciteitsberekening voor alle aanbieders;</w:t>
      </w:r>
    </w:p>
    <w:p>
      <w:pPr>
        <w:pStyle w:val="ListBullet"/>
        <w:ind w:left="432" w:hanging="259"/>
      </w:pPr>
      <w:r>
        <w:t>geen compleet financieel overzicht;</w:t>
      </w:r>
    </w:p>
    <w:p>
      <w:pPr>
        <w:pStyle w:val="ListBullet"/>
        <w:ind w:left="432" w:hanging="259"/>
      </w:pPr>
      <w:r>
        <w:t>geen definitief wijkplan;</w:t>
      </w:r>
    </w:p>
    <w:p>
      <w:pPr>
        <w:pStyle w:val="ListBullet"/>
        <w:ind w:left="432" w:hanging="259"/>
      </w:pPr>
      <w:r>
        <w:t>geen uitgewerkte monitoringmethodiek;</w:t>
      </w:r>
    </w:p>
    <w:p>
      <w:pPr>
        <w:pStyle w:val="ListBullet"/>
        <w:ind w:left="432" w:hanging="259"/>
      </w:pPr>
      <w:r>
        <w:t>geen definitieve tekst voor de regionale werkagenda.</w:t>
      </w:r>
    </w:p>
    <w:p>
      <w:pPr>
        <w:pStyle w:val="Heading1"/>
      </w:pPr>
      <w:r>
        <w:t>6. Voorgestelde eerste reactie</w:t>
      </w:r>
    </w:p>
    <w:p>
      <w:pPr>
        <w:pStyle w:val="ListNumber"/>
        <w:ind w:left="490" w:hanging="288"/>
      </w:pPr>
      <w:r>
        <w:t>Wie is ambtelijk aanspreekpunt voor dit onderdeel binnen AZWA/D5?</w:t>
      </w:r>
    </w:p>
    <w:p>
      <w:pPr>
        <w:pStyle w:val="ListNumber"/>
        <w:ind w:left="490" w:hanging="288"/>
      </w:pPr>
      <w:r>
        <w:t>Is de huidige ketenaanpak structureel, projectmatig of deels ingericht?</w:t>
      </w:r>
    </w:p>
    <w:p>
      <w:pPr>
        <w:pStyle w:val="ListNumber"/>
        <w:ind w:left="490" w:hanging="288"/>
      </w:pPr>
      <w:r>
        <w:t>Wie kan GLI-capaciteit, leefstijl-/beweegaanbod, wijkspreiding en wachttijden bevestigen?</w:t>
      </w:r>
    </w:p>
    <w:p>
      <w:pPr>
        <w:pStyle w:val="ListNumber"/>
        <w:ind w:left="490" w:hanging="288"/>
      </w:pPr>
      <w:r>
        <w:t>Wie kan centrale zorgcoordinatie en financieringsroute valideren?</w:t>
      </w:r>
    </w:p>
    <w:p>
      <w:pPr>
        <w:pStyle w:val="ListNumber"/>
        <w:ind w:left="490" w:hanging="288"/>
      </w:pPr>
      <w:r>
        <w:t>Welke keuze is nodig om Almere-input uiterlijk rond 15 september 2026 aan de regio te leveren?</w:t>
      </w:r>
    </w:p>
    <w:p>
      <w:pPr>
        <w:pStyle w:val="Heading1"/>
      </w:pPr>
      <w:r>
        <w:t>7. Werkconclusie</w:t>
      </w:r>
    </w:p>
    <w:p>
      <w:pPr/>
      <w:r>
        <w:t>De ketenaanpak overgewicht en obesitas volwassenen heeft een duidelijke opgave en een herkenbare landelijke richting. Ook zijn regionale en gemeentelijke partijen al in beeld. Het onderdeel is geschikt voor eerste conceptinput, maar nog niet voor een afgeronde werkagendapositie. De eerstvolgende stap is een beperkte bestuurlijk/ambtelijke bevestiging van eigenaar, huidige inrichting, capaciteit, centrale zorgcoordinatie, financiering en monitoring, zodat Almere rond 15 september 2026 bruikbare input kan leveren aan de regio.</w:t>
      </w:r>
    </w:p>
    <w:p>
      <w:pPr>
        <w:shd w:fill="F8FAFC"/>
        <w:pBdr>
          <w:left w:val="single" w:sz="12" w:space="6" w:color="A6B8D6"/>
        </w:pBdr>
      </w:pPr>
      <w:r>
        <w:rPr>
          <w:b/>
          <w:color w:val="1F4E79"/>
          <w:sz w:val="22"/>
        </w:rPr>
        <w:t>Bronnen voor huidige informatie:</w:t>
      </w:r>
      <w:r>
        <w:t xml:space="preserve"> GGD Flevoland tabellenboek volwassenen 2024; Almere Brede SPUK/GALA-plan 2024-2026; landelijke AZWA/D5-informatie.</w:t>
      </w:r>
    </w:p>
    <w:sectPr w:rsidR="00FC693F" w:rsidRPr="0006063C" w:rsidSect="00034616">
      <w:pgSz w:w="12240" w:h="15840"/>
      <w:pgMar w:top="1181" w:right="1224" w:bottom="118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Calibri Light" w:hAnsi="Calibri Light"/>
      <w:b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1F1F1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00"/>
      <w:contextualSpacing/>
    </w:pPr>
    <w:rPr>
      <w:rFonts w:ascii="Calibri" w:hAnsi="Calibri"/>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00"/>
      <w:contextualSpacing/>
    </w:pPr>
    <w:rPr>
      <w:rFonts w:ascii="Calibri" w:hAnsi="Calibri"/>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