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van aanpak AZWA Almere</w:t>
      </w:r>
    </w:p>
    <w:p>
      <w:r>
        <w:rPr>
          <w:b/>
        </w:rPr>
        <w:t>Versie 1: kort en krachtig</w:t>
      </w:r>
      <w:r>
        <w:t xml:space="preserve"> Peildatum: 2026-04-22. Datagrondslag: `data/site/site_almere_view.json`, `data/extracted/municipal/almere_current_view.json` en `data/extracted/qc_report.json`.</w:t>
      </w:r>
    </w:p>
    <w:p>
      <w:pPr>
        <w:pStyle w:val="Heading2"/>
      </w:pPr>
      <w:r>
        <w:t>Inleiding en aanleiding</w:t>
      </w:r>
    </w:p>
    <w:p>
      <w:r>
        <w:t>De dataset van 22 april 2026 laat zien dat de landelijke basis voor AZWA in Almere vooral op D5 en D6 helder is. Dat beeld steunt in deze repository onder meer op AZWA definitief van 31 augustus 2025, het CW 3.1-kader D5/D6 van 10 maart 2026 en de voortgangskamerbrief IZA/AZWA van 9 april 2026. De lokale opgave voor Almere is daarom niet om nieuw beleid te verzinnen, maar om de bestaande lijn expliciet te maken in keuzes, rollen, middelen en monitoring.</w:t>
      </w:r>
    </w:p>
    <w:p>
      <w:pPr>
        <w:pStyle w:val="Heading2"/>
      </w:pPr>
      <w:r>
        <w:t>Probleemanalyse en lokale opgave</w:t>
      </w:r>
    </w:p>
    <w:p>
      <w:r>
        <w:t>De huidige Almere-stukken - Visie Gezondheidsbeleid Almere 2024-2026, Maatschappelijke agenda 2024-2034, Transformatieplan Positief Gezond Almere, de SEO-businesscase, Informatiepagina Sociaal Domein en Sociale staat van Almere - bieden aanknopingspunten, maar nog geen volledig expliciet AZWA-kader. De Almere-view benoemt vier directe lokale opgaven:</w:t>
      </w:r>
    </w:p>
    <w:p>
      <w:pPr>
        <w:pStyle w:val="ListBullet"/>
      </w:pPr>
      <w:r>
        <w:t>Lokale vertaling van D5 nog niet expliciet vastgelegd.</w:t>
      </w:r>
    </w:p>
    <w:p>
      <w:pPr>
        <w:pStyle w:val="ListBullet"/>
      </w:pPr>
      <w:r>
        <w:t>Lokale D6-structuur nog niet expliciet beschreven.</w:t>
      </w:r>
    </w:p>
    <w:p>
      <w:pPr>
        <w:pStyle w:val="ListBullet"/>
      </w:pPr>
      <w:r>
        <w:t>Lokale verdeling van middelen nog niet expliciet zichtbaar.</w:t>
      </w:r>
    </w:p>
    <w:p>
      <w:pPr>
        <w:pStyle w:val="ListBullet"/>
      </w:pPr>
      <w:r>
        <w:t>Lokale monitoring nog niet expliciet gekoppeld aan regionale en landelijke cyclus.</w:t>
      </w:r>
    </w:p>
    <w:p>
      <w:pPr>
        <w:pStyle w:val="Heading2"/>
      </w:pPr>
      <w:r>
        <w:t>Ambitie en Doelstellingen</w:t>
      </w:r>
    </w:p>
    <w:p>
      <w:r>
        <w:t>Almere wil in 2026 van een impliciete lijn naar een expliciet uitvoerbaar AZWA-kader gaan. Uiterlijk in Q4 2026 ligt er een bestuurlijk vastgelegde lokale werkagenda met:</w:t>
      </w:r>
    </w:p>
    <w:p>
      <w:pPr>
        <w:pStyle w:val="ListBullet"/>
      </w:pPr>
      <w:r>
        <w:t>prioritering van D5-interventies en doelgroepen;</w:t>
      </w:r>
    </w:p>
    <w:p>
      <w:pPr>
        <w:pStyle w:val="ListBullet"/>
      </w:pPr>
      <w:r>
        <w:t>een regiemodel voor D6, lokale teams en wijkverbanden;</w:t>
      </w:r>
    </w:p>
    <w:p>
      <w:pPr>
        <w:pStyle w:val="ListBullet"/>
      </w:pPr>
      <w:r>
        <w:t>een financieringsarrangement voor 2027-2028;</w:t>
      </w:r>
    </w:p>
    <w:p>
      <w:pPr>
        <w:pStyle w:val="ListBullet"/>
      </w:pPr>
      <w:r>
        <w:t>een KPI-set en evaluatieritme richting 2028 en 2030.</w:t>
      </w:r>
    </w:p>
    <w:p>
      <w:pPr>
        <w:pStyle w:val="Heading2"/>
      </w:pPr>
      <w:r>
        <w:t>Scope en afbakening</w:t>
      </w:r>
    </w:p>
    <w:p>
      <w:r>
        <w:t>Dit plan richt zich primair op D5 en D6, omdat de huidige Almere-view en het corpus in deze repository daarop zijn gebaseerd. In scope zijn de lokale vertaling, regionale aansluiting, governance, middelen, monitoring en communicatie. Buiten scope vallen individuele contractering, landelijke normstelling en een zelfstandige Almeerse uitwerking van D7; D7 wordt alleen meegenomen als raakvlak in regionale afstemming.</w:t>
      </w:r>
    </w:p>
    <w:p>
      <w:pPr>
        <w:pStyle w:val="Heading2"/>
      </w:pPr>
      <w:r>
        <w:t>Samenwerking en governance (rollen en betrokkenen, besluitvorming)</w:t>
      </w:r>
    </w:p>
    <w:p>
      <w:r>
        <w:t>De gemeente Almere is eigenaar van de lokale vertaling en de bestuurlijke keuzes. GGD Flevoland, de Flevolandse IZA-governance, zorgverzekeraars, aanbieders, het sociaal domein en Positief Gezond Almere zijn kernpartners voor regionale afstemming en uitvoering. Het college besluit over koers, middelen en regiemodel; de raad wordt meegenomen via P&amp;C, de meicirculaire en voortgangsrapportages.</w:t>
      </w:r>
    </w:p>
    <w:p>
      <w:pPr>
        <w:pStyle w:val="Heading2"/>
      </w:pPr>
      <w:r>
        <w:t>Aanpak en strategie</w:t>
      </w:r>
    </w:p>
    <w:p>
      <w:r>
        <w:t>We werken in drie sporen:</w:t>
      </w:r>
    </w:p>
    <w:p>
      <w:pPr>
        <w:pStyle w:val="ListBullet"/>
      </w:pPr>
      <w:r>
        <w:t>expliciteren: maak D5-prioriteiten, doelgroepen en interventiekeuzes bestuurlijk scherp;</w:t>
      </w:r>
    </w:p>
    <w:p>
      <w:pPr>
        <w:pStyle w:val="ListBullet"/>
      </w:pPr>
      <w:r>
        <w:t>organiseren: leg D6-eigenaarschap, lokale teams, wijkverbanden en regionale rolverdeling vast;</w:t>
      </w:r>
    </w:p>
    <w:p>
      <w:pPr>
        <w:pStyle w:val="ListBullet"/>
      </w:pPr>
      <w:r>
        <w:t>aansluiten: koppel Almere aan de Flevolandse infrastructuur, de nationale bekostigingsroute en de actualisatiecyclus richting 2028.</w:t>
      </w:r>
    </w:p>
    <w:p>
      <w:pPr>
        <w:pStyle w:val="Heading2"/>
      </w:pPr>
      <w:r>
        <w:t>Actielijnen, werkpakketten</w:t>
      </w:r>
    </w:p>
    <w:p>
      <w:pPr>
        <w:pStyle w:val="ListBullet"/>
      </w:pPr>
      <w:r>
        <w:t>WP1 D5-werkagenda en prioritering.</w:t>
      </w:r>
    </w:p>
    <w:p>
      <w:pPr>
        <w:pStyle w:val="ListBullet"/>
      </w:pPr>
      <w:r>
        <w:t>WP2 D6-regiemodel, lokale teams en wijkverbanden.</w:t>
      </w:r>
    </w:p>
    <w:p>
      <w:pPr>
        <w:pStyle w:val="ListBullet"/>
      </w:pPr>
      <w:r>
        <w:t>WP3 Middelen, meicirculaire 2026 en begroting 2027.</w:t>
      </w:r>
    </w:p>
    <w:p>
      <w:pPr>
        <w:pStyle w:val="ListBullet"/>
      </w:pPr>
      <w:r>
        <w:t>WP4 Monitoring, KPI-set en leeragenda.</w:t>
      </w:r>
    </w:p>
    <w:p>
      <w:pPr>
        <w:pStyle w:val="ListBullet"/>
      </w:pPr>
      <w:r>
        <w:t>WP5 Regionale afstemming, communicatie en participatie.</w:t>
      </w:r>
    </w:p>
    <w:p>
      <w:pPr>
        <w:pStyle w:val="Heading2"/>
      </w:pPr>
      <w:r>
        <w:t>Personele inzet</w:t>
      </w:r>
    </w:p>
    <w:p>
      <w:r>
        <w:t>Indicatief is nodig: 0,8 fte programmamanager, 0,8 fte gecombineerde beleidsinzet sociaal domein en gezondheid, 0,2 fte financien/control, 0,2 fte data/monitoring en 0,1 fte communicatie. Waar mogelijk wordt dit ingevuld met bestaande capaciteit en regionale inzet.</w:t>
      </w:r>
    </w:p>
    <w:p>
      <w:pPr>
        <w:pStyle w:val="Heading2"/>
      </w:pPr>
      <w:r>
        <w:t>Concrete acties en planning</w:t>
      </w:r>
    </w:p>
    <w:p>
      <w:pPr>
        <w:pStyle w:val="ListBullet"/>
      </w:pPr>
      <w:r>
        <w:t>April-mei 2026: factsheet, nulmeting en besluitnotitie op basis van de Almere-view.</w:t>
      </w:r>
    </w:p>
    <w:p>
      <w:pPr>
        <w:pStyle w:val="ListBullet"/>
      </w:pPr>
      <w:r>
        <w:t>Mei-juni 2026: keuzevoorstel voor D5-prioritering en D6-regiemodel.</w:t>
      </w:r>
    </w:p>
    <w:p>
      <w:pPr>
        <w:pStyle w:val="ListBullet"/>
      </w:pPr>
      <w:r>
        <w:t>Juni-juli 2026: financieel scenario rond de meicirculaire 2026 en de begroting 2027.</w:t>
      </w:r>
    </w:p>
    <w:p>
      <w:pPr>
        <w:pStyle w:val="ListBullet"/>
      </w:pPr>
      <w:r>
        <w:t>Augustus-september 2026: bestuurlijke regionale afstemming en lokale vaststelling.</w:t>
      </w:r>
    </w:p>
    <w:p>
      <w:pPr>
        <w:pStyle w:val="ListBullet"/>
      </w:pPr>
      <w:r>
        <w:t>Q4 2026: uitvoeringsplan 2027-2028 met KPI's, eigenaarschap en rapportageritme.</w:t>
      </w:r>
    </w:p>
    <w:p>
      <w:pPr>
        <w:pStyle w:val="ListBullet"/>
      </w:pPr>
      <w:r>
        <w:t>2027-2028: uitvoering met startpakket en regionale doorontwikkeling.</w:t>
      </w:r>
    </w:p>
    <w:p>
      <w:pPr>
        <w:pStyle w:val="ListBullet"/>
      </w:pPr>
      <w:r>
        <w:t>2028: herijking op basis van landelijke actualisatie.</w:t>
      </w:r>
    </w:p>
    <w:p>
      <w:pPr>
        <w:pStyle w:val="ListBullet"/>
      </w:pPr>
      <w:r>
        <w:t>2030: volledige dekking en bestendige inbedding als eindbeeld.</w:t>
      </w:r>
    </w:p>
    <w:p>
      <w:pPr>
        <w:pStyle w:val="Heading2"/>
      </w:pPr>
      <w:r>
        <w:t>Middelen en Financien Meicirculaire</w:t>
      </w:r>
    </w:p>
    <w:p>
      <w:r>
        <w:t>De landelijke bekostigingsroute is volgens de dataset nog afhankelijk van afspraken tussen VNG, fondsbeheerders en VWS. Voor Almere is de meicirculaire 2026 daarom het eerstvolgende formele ijkmoment voor begroting 2027. Werkhypothese is een mix van gemeentelijke middelen, SPUK IZA, regionale transformatiemiddelen en het landelijke startpakket voor 2027-2028, zolang de definitieve route niet volledig is uitgekristalliseerd.</w:t>
      </w:r>
    </w:p>
    <w:p>
      <w:pPr>
        <w:pStyle w:val="Heading2"/>
      </w:pPr>
      <w:r>
        <w:t>Risico's en beheersmaatregelen en randvoorwaarden</w:t>
      </w:r>
    </w:p>
    <w:p>
      <w:pPr>
        <w:pStyle w:val="ListBullet"/>
      </w:pPr>
      <w:r>
        <w:t>Onduidelijke bekostigingsroute: werk met scenario's A, B en C rond de meicirculaire 2026.</w:t>
      </w:r>
    </w:p>
    <w:p>
      <w:pPr>
        <w:pStyle w:val="ListBullet"/>
      </w:pPr>
      <w:r>
        <w:t>Onheldere rolverdeling in Flevoland: leg eigenaarschap en escalatielijn bestuurlijk vast.</w:t>
      </w:r>
    </w:p>
    <w:p>
      <w:pPr>
        <w:pStyle w:val="ListBullet"/>
      </w:pPr>
      <w:r>
        <w:t>Afhankelijkheid van regionale digitale infrastructuur: plan lokale aansluiting als apart werkpakket.</w:t>
      </w:r>
    </w:p>
    <w:p>
      <w:pPr>
        <w:pStyle w:val="ListBullet"/>
      </w:pPr>
      <w:r>
        <w:t>Te veel impliciete keuzes: vertaal open punten in expliciete collegebesluiten.</w:t>
      </w:r>
    </w:p>
    <w:p>
      <w:pPr>
        <w:pStyle w:val="ListBullet"/>
      </w:pPr>
      <w:r>
        <w:t>Randvoorwaarde is bestuurlijke ruimte om in 2026 prioriteiten te stellen, ook als landelijke uitwerking nog niet op alle onderdelen klaar is.</w:t>
      </w:r>
    </w:p>
    <w:p>
      <w:pPr>
        <w:pStyle w:val="Heading2"/>
      </w:pPr>
      <w:r>
        <w:t>Monitoring en evaluatie</w:t>
      </w:r>
    </w:p>
    <w:p>
      <w:r>
        <w:t>Monitoring volgt drie lijnen: voortgang van uitvoering, effect op samenwerking en toegankelijkheid, en aansluiting op de Flevolandse en landelijke cyclus. Almere werkt met een compacte KPI-set, een halfjaarlijkse voortgangsreview en een herijking in 2028.</w:t>
      </w:r>
    </w:p>
    <w:p>
      <w:pPr>
        <w:pStyle w:val="Heading2"/>
      </w:pPr>
      <w:r>
        <w:t>Communicatie en participatie</w:t>
      </w:r>
    </w:p>
    <w:p>
      <w:r>
        <w:t>Communicatie loopt via bestaande structuren: raad, wijknetwerken, zorg- en welzijnspartners, Positief Gezond Almere en inwonersparticipatie rond lokale teams en preventie. Doel is helderheid: wat kiest Almere, waarom, en wat merkt de inwoner daarvan.</w:t>
      </w:r>
    </w:p>
    <w:p>
      <w:pPr>
        <w:pStyle w:val="Heading2"/>
      </w:pPr>
      <w:r>
        <w:t>Besluitvorming en vervolgstappen</w:t>
      </w:r>
    </w:p>
    <w:p>
      <w:r>
        <w:t>De eerstvolgende besluiten in 2026 zijn:</w:t>
      </w:r>
    </w:p>
    <w:p>
      <w:pPr>
        <w:pStyle w:val="ListBullet"/>
      </w:pPr>
      <w:r>
        <w:t>prioritering van D5-interventies;</w:t>
      </w:r>
    </w:p>
    <w:p>
      <w:pPr>
        <w:pStyle w:val="ListBullet"/>
      </w:pPr>
      <w:r>
        <w:t>regiemodel voor D6 en lokale teams;</w:t>
      </w:r>
    </w:p>
    <w:p>
      <w:pPr>
        <w:pStyle w:val="ListBullet"/>
      </w:pPr>
      <w:r>
        <w:t>verdeling van beschikbare middelen over D5 en D6;</w:t>
      </w:r>
    </w:p>
    <w:p>
      <w:pPr>
        <w:pStyle w:val="ListBullet"/>
      </w:pPr>
      <w:r>
        <w:t>monitoringsarrangement voor Almere.</w:t>
      </w:r>
    </w:p>
    <w:p>
      <w:r>
        <w:t>Na deze keuzes volgt vaststelling van het uitvoeringsplan 2027-2028.</w:t>
      </w:r>
    </w:p>
    <w:p>
      <w:pPr>
        <w:pStyle w:val="Heading2"/>
      </w:pPr>
      <w:r>
        <w:t>Verantwoording</w:t>
      </w:r>
    </w:p>
    <w:p>
      <w:r>
        <w:t>Datatoets 22 april 2026: de rapporten zijn gecontroleerd tegen `site_almere_view.json`, `almere_current_view.json` en `qc_report.json`. De QC-rapportage laat 0 blocking issues, 0 warnings en 26 reviewpunten zien. Daarom scheidt dit plan harde broninformatie van bestuurlijke keuzes en presenteert het open lokale punten niet als reeds vastgesteld beleid.</w:t>
      </w:r>
    </w:p>
    <w:p>
      <w:pPr>
        <w:pStyle w:val="Heading2"/>
      </w:pPr>
      <w:r>
        <w:t>Bijlagen</w:t>
      </w:r>
    </w:p>
    <w:p>
      <w:pPr>
        <w:pStyle w:val="ListBullet"/>
      </w:pPr>
      <w:r>
        <w:t>Bijlage A: gebruikte bronset en peildatum 2026-04-22.</w:t>
      </w:r>
    </w:p>
    <w:p>
      <w:pPr>
        <w:pStyle w:val="ListBullet"/>
      </w:pPr>
      <w:r>
        <w:t>Bijlage B: lokale gaps en bestuurlijke keuzevragen uit de Almere-view.</w:t>
      </w:r>
    </w:p>
    <w:p>
      <w:pPr>
        <w:pStyle w:val="ListBullet"/>
      </w:pPr>
      <w:r>
        <w:t>Bijlage C: planning 2026-2030.</w:t>
      </w:r>
    </w:p>
    <w:p>
      <w:pPr>
        <w:pStyle w:val="ListBullet"/>
      </w:pPr>
      <w:r>
        <w:t>Bijlage D: datatoets en QC-samenvatting.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