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van Aanpak Almere: AZWA D5, D6 en D7 (Bijlage D5 werkagenda)</w:t>
      </w:r>
    </w:p>
    <w:p>
      <w:r>
        <w:rPr>
          <w:b/>
        </w:rPr>
        <w:t>Versie 1: kort en krachtig</w:t>
      </w:r>
      <w:r>
        <w:t xml:space="preserve"> Bron: Aanvullend Zorg- en Welzijnsakkoord, versie 1.0, augustus 2025. Content p60-66 (D5, D6, D7) en p100-104 (Bijlage D5). Peildatum: 2026-04-22.</w:t>
      </w:r>
    </w:p>
    <w:p>
      <w:pPr>
        <w:pStyle w:val="Heading2"/>
      </w:pPr>
      <w:r>
        <w:t>Inleiding en aanleiding</w:t>
      </w:r>
    </w:p>
    <w:p>
      <w:r>
        <w:t>Het AZWA regelt op p60-66 de afspraken die Almere direct raken: D5 (versterken samenwerking (eerstelijns)zorg × sociaal domein), D6 (basisinfrastructuur sociaal domein) en D7 (ANW- en crisisdiensten). De bijlage op p100-104 beschrijft het mechanisme: landelijk het "wat" (basisfunctionaliteiten en gereedschapskist), lokaal het "hoe".</w:t>
      </w:r>
    </w:p>
    <w:p>
      <w:pPr>
        <w:pStyle w:val="Heading2"/>
      </w:pPr>
      <w:r>
        <w:t>Probleemanalyse en lokale opgave</w:t>
      </w:r>
    </w:p>
    <w:p>
      <w:r>
        <w:t>Almere moet op vier leefgebieden basisfunctionaliteiten voor iedere inwoner beschikbaar maken: Kansrijk opgroeien, Gezonde leefstijl, Mentale gezondheid en Vitaal ouder worden. Het verminderen van gezondheidsachterstanden en vergroten van zelfredzaamheid loopt als rode draad door deze vier thema's. Daarnaast moet Almere een D6-basisinfrastructuur inrichten (inloopvoorzieningen sociaal en gezond, lokale teams, (Mentale) gezonde school, buursportcoaches, suïcidepreventie, coördinatie). D7 ligt primair bij ggz-partners en zorgverzekeraar; Almere faciliteert.</w:t>
      </w:r>
    </w:p>
    <w:p>
      <w:pPr>
        <w:pStyle w:val="Heading2"/>
      </w:pPr>
      <w:r>
        <w:t>Ambitie en Doelstellingen</w:t>
      </w:r>
    </w:p>
    <w:p>
      <w:pPr>
        <w:pStyle w:val="ListBullet"/>
      </w:pPr>
      <w:r>
        <w:t>De vijf reeds onderbouwde basisfunctionaliteiten (laagdrempelige steunpunten EPA, Sociaal Verwijzen, Valpreventie, GLI volwassenen, Kansrijke Start inclusief integrale gezinspoli en Nu Niet Zwanger) overal beschikbaar in Almere.</w:t>
      </w:r>
    </w:p>
    <w:p>
      <w:pPr>
        <w:pStyle w:val="ListBullet"/>
      </w:pPr>
      <w:r>
        <w:t>Stevige lokale teams aangesloten op alle hechte wijkverbanden uiterlijk Q4 2028.</w:t>
      </w:r>
    </w:p>
    <w:p>
      <w:pPr>
        <w:pStyle w:val="ListBullet"/>
      </w:pPr>
      <w:r>
        <w:t>Almeerse inbreng in regionaal aanvullend plan uiterlijk eind september 2026.</w:t>
      </w:r>
    </w:p>
    <w:p>
      <w:pPr>
        <w:pStyle w:val="ListBullet"/>
      </w:pPr>
      <w:r>
        <w:t>Landelijke dekking basisfunctionaliteiten gerealiseerd vanaf 2030.</w:t>
      </w:r>
    </w:p>
    <w:p>
      <w:pPr>
        <w:pStyle w:val="Heading2"/>
      </w:pPr>
      <w:r>
        <w:t>Scope en afbakening</w:t>
      </w:r>
    </w:p>
    <w:p>
      <w:r>
        <w:t>In scope: D5 onderbouwde basisfunctionaliteiten en ontwikkelagenda 1, D6 basisinfrastructuur, faciliterende rol bij D7. Uit scope: ontwikkelagenda 2, beheer landelijke gereedschapskist, wetgevingstraject gezondheidstaken, individuele zorgcontractering. Doorbraakmiddelen zijn alleen toegankelijk via een Zvw-aanbieder; gemeenten kunnen niet zelfstandig aanvragen (p63 noot 33).</w:t>
      </w:r>
    </w:p>
    <w:p>
      <w:pPr>
        <w:pStyle w:val="Heading2"/>
      </w:pPr>
      <w:r>
        <w:t>Samenwerking en governance (rollen en betrokkenen, besluitvorming)</w:t>
      </w:r>
    </w:p>
    <w:p>
      <w:r>
        <w:t>Trekker: gemeente Almere, portefeuilles sociaal domein en gezondheid. Regionale partners: GGD Flevoland (coördinatie ketenaanpakken en preventie-infrastructuur), mandaatgemeente regioplan, zorgverzekeraars, RHO huisartsen, ggz, sociaal werk, aanbieders. Landelijk: BO IZA/AZWA (trekkers VNG, ZN, VWS) en kennispartners (Zorginstituut, GGD GHOR Nederland, SWN, Trimbos, RIVM, Movisie, NJi). Besluitvorming landelijk Q4 2025; lokaal via college- en raadinformatiebrieven binnen reguliere P&amp;C-cyclus.</w:t>
      </w:r>
    </w:p>
    <w:p>
      <w:pPr>
        <w:pStyle w:val="Heading2"/>
      </w:pPr>
      <w:r>
        <w:t>Aanpak en strategie</w:t>
      </w:r>
    </w:p>
    <w:p>
      <w:r>
        <w:t>Drie sporen: (1) onderbouwde basisfunctionaliteiten snel borgen; (2) ontwikkelagenda 1 lokaal klaarzetten voor Q1 2026-landing; (3) D6-infrastructuur positioneren als lokale drager. Gebruik van bestaande gereedschapskist (o.a. Vallen Verleden Tijd, In Balans, Thuis Onbezorgd Mobiel) in plaats van eigen interventies. Aansluiten op bestaande overlegstructuren, geen extra lagen.</w:t>
      </w:r>
    </w:p>
    <w:p>
      <w:pPr>
        <w:pStyle w:val="Heading2"/>
      </w:pPr>
      <w:r>
        <w:t>Actielijnen, werkpakketten</w:t>
      </w:r>
    </w:p>
    <w:p>
      <w:pPr>
        <w:pStyle w:val="ListBullet"/>
      </w:pPr>
      <w:r>
        <w:t>WP1 Basisfunctionaliteiten onderbouwd (D5 kolom 1).</w:t>
      </w:r>
    </w:p>
    <w:p>
      <w:pPr>
        <w:pStyle w:val="ListBullet"/>
      </w:pPr>
      <w:r>
        <w:t>WP2 Ontwikkelagenda 1 (Verkennend Gesprek, Ketenaanpak dementie incl. preventie, Ketenaanpak overgewicht kinderen, Rookvrije start, Multiproblematiek aanpak NPLV).</w:t>
      </w:r>
    </w:p>
    <w:p>
      <w:pPr>
        <w:pStyle w:val="ListBullet"/>
      </w:pPr>
      <w:r>
        <w:t>WP3 Basisinfrastructuur D6.</w:t>
      </w:r>
    </w:p>
    <w:p>
      <w:pPr>
        <w:pStyle w:val="ListBullet"/>
      </w:pPr>
      <w:r>
        <w:t>WP4 Regionale coördinatie en aangevuld regioplan.</w:t>
      </w:r>
    </w:p>
    <w:p>
      <w:pPr>
        <w:pStyle w:val="ListBullet"/>
      </w:pPr>
      <w:r>
        <w:t>WP5 Faciliteren D7 ANW/crisisdiensten.</w:t>
      </w:r>
    </w:p>
    <w:p>
      <w:pPr>
        <w:pStyle w:val="ListBullet"/>
      </w:pPr>
      <w:r>
        <w:t>WP6 Financiën, meicirculaire en verantwoording.</w:t>
      </w:r>
    </w:p>
    <w:p>
      <w:pPr>
        <w:pStyle w:val="Heading2"/>
      </w:pPr>
      <w:r>
        <w:t>Personele inzet</w:t>
      </w:r>
    </w:p>
    <w:p>
      <w:r>
        <w:t>Programmamanager AZWA (~0,8 fte), beleidsadviseur sociaal domein (~0,4 fte), beleidsadviseur publieke gezondheid (~0,4 fte), beleidsadviseur jeugd (~0,2 fte), controller (~0,2 fte), projectleiders WP3 en WP4 (~0,4 fte tijdelijk). Regionale capaciteit delen via GGD Flevoland en mandaatgemeente.</w:t>
      </w:r>
    </w:p>
    <w:p>
      <w:pPr>
        <w:pStyle w:val="Heading2"/>
      </w:pPr>
      <w:r>
        <w:t>Concrete acties en planning</w:t>
      </w:r>
    </w:p>
    <w:p>
      <w:pPr>
        <w:pStyle w:val="ListBullet"/>
      </w:pPr>
      <w:r>
        <w:t>Najaar 2025: bijdragen aan landelijke scan (ZN/VNG/VWS).</w:t>
      </w:r>
    </w:p>
    <w:p>
      <w:pPr>
        <w:pStyle w:val="ListBullet"/>
      </w:pPr>
      <w:r>
        <w:t>Q4 2025: landelijk kader vastgesteld in BO IZA/AZWA; collegebesluit uitgangspunten.</w:t>
      </w:r>
    </w:p>
    <w:p>
      <w:pPr>
        <w:pStyle w:val="ListBullet"/>
      </w:pPr>
      <w:r>
        <w:t>Q1 2026: landelijke afspraken D6 beschikbaar; ontwikkelagenda 1 geprioriteerd; regionale regie op ketenaanpakken vastgelegd.</w:t>
      </w:r>
    </w:p>
    <w:p>
      <w:pPr>
        <w:pStyle w:val="ListBullet"/>
      </w:pPr>
      <w:r>
        <w:t>Q2 2026: meicirculaire verwerkt in Almeerse begroting 2027.</w:t>
      </w:r>
    </w:p>
    <w:p>
      <w:pPr>
        <w:pStyle w:val="ListBullet"/>
      </w:pPr>
      <w:r>
        <w:t>Eind september 2026: regionaal aanvullend plan opgeleverd.</w:t>
      </w:r>
    </w:p>
    <w:p>
      <w:pPr>
        <w:pStyle w:val="ListBullet"/>
      </w:pPr>
      <w:r>
        <w:t>1 januari 2027: robuuste continuïteit ANW/crisisdiensten operationeel in Flevoland.</w:t>
      </w:r>
    </w:p>
    <w:p>
      <w:pPr>
        <w:pStyle w:val="ListBullet"/>
      </w:pPr>
      <w:r>
        <w:t>2027-2028: doorbraakmiddelen (landelijk €100 mln per jaar) via Zvw-aanbieder.</w:t>
      </w:r>
    </w:p>
    <w:p>
      <w:pPr>
        <w:pStyle w:val="ListBullet"/>
      </w:pPr>
      <w:r>
        <w:t>Q4 2028: lokale teams in Almere volledig aangesloten.</w:t>
      </w:r>
    </w:p>
    <w:p>
      <w:pPr>
        <w:pStyle w:val="ListBullet"/>
      </w:pPr>
      <w:r>
        <w:t>2028: periodieke update basisfunctionaliteiten.</w:t>
      </w:r>
    </w:p>
    <w:p>
      <w:pPr>
        <w:pStyle w:val="ListBullet"/>
      </w:pPr>
      <w:r>
        <w:t>2030: landelijke dekking basisfunctionaliteiten.</w:t>
      </w:r>
    </w:p>
    <w:p>
      <w:pPr>
        <w:pStyle w:val="Heading2"/>
      </w:pPr>
      <w:r>
        <w:t>Middelen en Financiën Meicirculaire</w:t>
      </w:r>
    </w:p>
    <w:p>
      <w:r>
        <w:t>Gemeenten ontvangen middelen via de Financiële verhoudingenwet als vertrekpunt (p63, p66). Een nieuwe specifieke uitkering vraagt expliciete kabinetsbesluitvorming (p63). Almere vertaalt het aandeel jaarlijks via de meicirculaire, langs (i) decentralisatie-uitkering gemeentefonds voor D6-onderdelen, (ii) SPUK IZA (genoemd in D6-tabel p64), (iii) reguliere sociaal-domein- en publieke-gezondheid-middelen. Structurele financiering uit Zvw-besparing vereist (p62, p102): voldoende bewijslast, besparing via intensivering, dekking gehele looptijd, kabinetsbesluit. Voor concrete bedragen per AZWA-onderdeel: zie AZWA hoofdstuk 4 Financiën (p81) en Bijlagen 1-3 (p89-93).</w:t>
      </w:r>
    </w:p>
    <w:p>
      <w:pPr>
        <w:pStyle w:val="Heading2"/>
      </w:pPr>
      <w:r>
        <w:t>Risico's en beheersmaatregelen en randvoorwaarden</w:t>
      </w:r>
    </w:p>
    <w:p>
      <w:pPr>
        <w:pStyle w:val="ListBullet"/>
      </w:pPr>
      <w:r>
        <w:t>Meicirculaire tijdig/duidelijk over D6-aandeel: scenario-analyse vooraf op basis van AZWA-bijlagen.</w:t>
      </w:r>
    </w:p>
    <w:p>
      <w:pPr>
        <w:pStyle w:val="ListBullet"/>
      </w:pPr>
      <w:r>
        <w:t>Geen Zvw-aanbieder voor doorbraakmiddelen: actief partners werven (huisartsen, wijkverpleging, ggz).</w:t>
      </w:r>
    </w:p>
    <w:p>
      <w:pPr>
        <w:pStyle w:val="ListBullet"/>
      </w:pPr>
      <w:r>
        <w:t>Deadline Q4 2028 voor lokale teams krap: fasering vanaf 2026, start in wijken met hoogste zorgvraag.</w:t>
      </w:r>
    </w:p>
    <w:p>
      <w:pPr>
        <w:pStyle w:val="ListBullet"/>
      </w:pPr>
      <w:r>
        <w:t>Dubbele structuur met regioplan: één loket via mandaatgemeente; aansluiten op bestaand IZA-regioplan.</w:t>
      </w:r>
    </w:p>
    <w:p>
      <w:pPr>
        <w:pStyle w:val="ListBullet"/>
      </w:pPr>
      <w:r>
        <w:t>Randvoorwaarden: beschikbaarheid landelijke gereedschapskist, helderheid over financieringsvorm, tijdige Q1 2026-afspraken, bestuurlijk commitment regio.</w:t>
      </w:r>
    </w:p>
    <w:p>
      <w:pPr>
        <w:pStyle w:val="Heading2"/>
      </w:pPr>
      <w:r>
        <w:t>Monitoring en evaluatie</w:t>
      </w:r>
    </w:p>
    <w:p>
      <w:r>
        <w:t>Drie niveaus conform Bijlage D5 (p104): uitvoering, (kosten)effectiviteit en werking mechanisme. Aansluiten bij bestaande gegevensbronnen en reguliere verantwoording aan de gemeenteraad (p63, p102). Tussentijdse herijking basisfunctionaliteiten in 2028 op basis van (boven)lokale monitoring (p62).</w:t>
      </w:r>
    </w:p>
    <w:p>
      <w:pPr>
        <w:pStyle w:val="Heading2"/>
      </w:pPr>
      <w:r>
        <w:t>Communicatie en participatie</w:t>
      </w:r>
    </w:p>
    <w:p>
      <w:r>
        <w:t>Publicatie lokale AZWA-positie op raadvanalmere.nl uiterlijk Q1 2026. Participatie via bestaande wijk- en regionale overleggen met sociaal werk, huisartsen, wijkverpleging, ggz, jeugdhulp, onderwijs, sport. Expliciete ondersteuning burgerinitiatieven als onderdeel van D6 (p64).</w:t>
      </w:r>
    </w:p>
    <w:p>
      <w:pPr>
        <w:pStyle w:val="Heading2"/>
      </w:pPr>
      <w:r>
        <w:t>Besluitvorming en vervolgstappen</w:t>
      </w:r>
    </w:p>
    <w:p>
      <w:r>
        <w:t>Collegebesluit Q4 2025 over uitgangspunten en trekkers. Raadinformatiebrief bij meicirculaire 2027. Collegebesluit bij oplevering regionaal plan (september 2026). Raadsevaluatie begin 2027. Vervolgbesluit in 2028 bij periodieke herijking.</w:t>
      </w:r>
    </w:p>
    <w:p>
      <w:pPr>
        <w:pStyle w:val="Heading2"/>
      </w:pPr>
      <w:r>
        <w:t>Verantwoording</w:t>
      </w:r>
    </w:p>
    <w:p>
      <w:r>
        <w:t>Gemeenteraad Almere via P&amp;C-cyclus en jaarlijkse AZWA-voortgangsrapportage. Regionaal via mandaatgemeente en aangevuld regioplan. Landelijk via BO IZA/AZWA-monitoring. Wederkerige aanspreekbaarheid tussen gemeente, zorgverzekeraars en aanbieders (p101).</w:t>
      </w:r>
    </w:p>
    <w:p>
      <w:pPr>
        <w:pStyle w:val="Heading2"/>
      </w:pPr>
      <w:r>
        <w:t>Bijlagen</w:t>
      </w:r>
    </w:p>
    <w:p>
      <w:pPr>
        <w:pStyle w:val="ListBullet"/>
      </w:pPr>
      <w:r>
        <w:t>A. Bronverwijzing AZWA content p60-66 en p100-104.</w:t>
      </w:r>
    </w:p>
    <w:p>
      <w:pPr>
        <w:pStyle w:val="ListBullet"/>
      </w:pPr>
      <w:r>
        <w:t>B. Overzicht basisfunctionaliteiten (Tabel 1, p61) en D6-basisinfrastructuur (tabellen p64).</w:t>
      </w:r>
    </w:p>
    <w:p>
      <w:pPr>
        <w:pStyle w:val="ListBullet"/>
      </w:pPr>
      <w:r>
        <w:t>C. Landelijke mijlpalen: najaar 2025, Q4 2025, Q1 2026, september 2026, 1-1-2027, 2027-2028, Q4 2028, 2028, 2030.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