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van aanpak AZWA Almere</w:t>
      </w:r>
    </w:p>
    <w:p>
      <w:r>
        <w:rPr>
          <w:b/>
        </w:rPr>
        <w:t>Versie 2: uitgebreider</w:t>
      </w:r>
      <w:r>
        <w:t xml:space="preserve"> Peildatum: 2026-04-22. Datagrondslag: `data/site/site_almere_view.json`, `data/extracted/municipal/almere_current_view.json`, `data/extracted/qc_report.json` en de gekoppelde bronset in de repository.</w:t>
      </w:r>
    </w:p>
    <w:p>
      <w:pPr>
        <w:pStyle w:val="Heading2"/>
      </w:pPr>
      <w:r>
        <w:t>Inleiding en aanleiding</w:t>
      </w:r>
    </w:p>
    <w:p>
      <w:r>
        <w:t>De actuele bronbasis in deze repository laat voor Almere een herkenbare landelijke basis voor AZWA zien, maar ook dat de lokale vertaling nog niet op alle punten expliciet is vastgelegd. Dat beeld is per 22 april 2026 gebaseerd op de combinatie van landelijke en lokale bronnen, met name:</w:t>
      </w:r>
    </w:p>
    <w:p>
      <w:pPr>
        <w:pStyle w:val="ListBullet"/>
      </w:pPr>
      <w:r>
        <w:t>Aanvullend Zorg- en Welzijnsakkoord (AZWA) definitief van 31 augustus 2025;</w:t>
      </w:r>
    </w:p>
    <w:p>
      <w:pPr>
        <w:pStyle w:val="ListBullet"/>
      </w:pPr>
      <w:r>
        <w:t>CW 3.1 kader basisfunctionaliteiten en basisinfrastructuur D5 en D6 van 10 maart 2026;</w:t>
      </w:r>
    </w:p>
    <w:p>
      <w:pPr>
        <w:pStyle w:val="ListBullet"/>
      </w:pPr>
      <w:r>
        <w:t>Kamerbrief inzake voortgang IZA/AZWA van 9 april 2026;</w:t>
      </w:r>
    </w:p>
    <w:p>
      <w:pPr>
        <w:pStyle w:val="ListBullet"/>
      </w:pPr>
      <w:r>
        <w:t>Visie Gezondheidsbeleid Almere 2024-2026;</w:t>
      </w:r>
    </w:p>
    <w:p>
      <w:pPr>
        <w:pStyle w:val="ListBullet"/>
      </w:pPr>
      <w:r>
        <w:t>Maatschappelijke agenda 2024-2034;</w:t>
      </w:r>
    </w:p>
    <w:p>
      <w:pPr>
        <w:pStyle w:val="ListBullet"/>
      </w:pPr>
      <w:r>
        <w:t>Transformatieplan Positief Gezond Almere en de SEO-businesscase;</w:t>
      </w:r>
    </w:p>
    <w:p>
      <w:pPr>
        <w:pStyle w:val="ListBullet"/>
      </w:pPr>
      <w:r>
        <w:t>Informatiepagina Sociaal Domein en Sociale staat van Almere.</w:t>
      </w:r>
    </w:p>
    <w:p>
      <w:r>
        <w:t>De kern van dit plan van aanpak is daarom eenvoudig: Almere hoeft de landelijke lijn niet opnieuw te ontwerpen, maar moet haar eigen vertaling bestuurlijk expliciet maken, regionaal verbinden en financieel en organisatorisch uitvoerbaar inrichten. De focus ligt op D5 en D6, omdat de huidige dataset en Almere-view in deze repository daarop zijn ingericht.</w:t>
      </w:r>
    </w:p>
    <w:p>
      <w:pPr>
        <w:pStyle w:val="Heading2"/>
      </w:pPr>
      <w:r>
        <w:t>Probleemanalyse en lokale opgave</w:t>
      </w:r>
    </w:p>
    <w:p>
      <w:r>
        <w:t>De huidige lokale documenten laten zien dat Almere al duidelijke inhoudelijke bouwstenen heeft. De SEO-businesscase en het Transformatieplan Positief Gezond Almere geven aanknopingspunten voor domeinoverstijgende samenwerking, verschuiving naar gezondheid en veerkracht, mentale gezondheidsnetwerken en digitale of operationele infrastructuur. De Visie Gezondheidsbeleid Almere 2024-2026, de Maatschappelijke agenda 2024-2034, de Informatiepagina Sociaal Domein en de Sociale staat van Almere bieden aanvullende lokale context.</w:t>
      </w:r>
    </w:p>
    <w:p>
      <w:r>
        <w:t>Tegelijk laat de Almere-view zien dat precies op de bestuurlijke vertaling nog hiaten zitten. De vier data-gestuurde hoofdopgaven zijn:</w:t>
      </w:r>
    </w:p>
    <w:p>
      <w:pPr>
        <w:pStyle w:val="ListBullet"/>
      </w:pPr>
      <w:r>
        <w:t>Lokale vertaling van D5 nog niet expliciet vastgelegd.</w:t>
      </w:r>
    </w:p>
    <w:p>
      <w:pPr>
        <w:pStyle w:val="ListBullet"/>
      </w:pPr>
      <w:r>
        <w:t>Lokale D6-structuur nog niet expliciet beschreven.</w:t>
      </w:r>
    </w:p>
    <w:p>
      <w:pPr>
        <w:pStyle w:val="ListBullet"/>
      </w:pPr>
      <w:r>
        <w:t>Lokale verdeling van middelen nog niet expliciet zichtbaar.</w:t>
      </w:r>
    </w:p>
    <w:p>
      <w:pPr>
        <w:pStyle w:val="ListBullet"/>
      </w:pPr>
      <w:r>
        <w:t>Lokale monitoring nog niet expliciet gekoppeld aan regionale en landelijke cyclus.</w:t>
      </w:r>
    </w:p>
    <w:p>
      <w:r>
        <w:t>Deze vier opgaven vallen rechtstreeks samen met de bestuurlijke keuzevragen die de dataset voor Almere markeert:</w:t>
      </w:r>
    </w:p>
    <w:p>
      <w:pPr>
        <w:pStyle w:val="ListBullet"/>
      </w:pPr>
      <w:r>
        <w:t>Welke D5-interventies prioriteert Almere als eerste en voor welke doelgroepen?</w:t>
      </w:r>
    </w:p>
    <w:p>
      <w:pPr>
        <w:pStyle w:val="ListBullet"/>
      </w:pPr>
      <w:r>
        <w:t>Hoe organiseert Almere eigenaarschap, coordinatie en aanspreekbaarheid voor D6, lokale teams en wijkverbanden?</w:t>
      </w:r>
    </w:p>
    <w:p>
      <w:pPr>
        <w:pStyle w:val="ListBullet"/>
      </w:pPr>
      <w:r>
        <w:t>Hoe verdeelt Almere beschikbare D5/D6-middelen tussen directe interventies, infrastructuur en preventiegerichte versterking?</w:t>
      </w:r>
    </w:p>
    <w:p>
      <w:pPr>
        <w:pStyle w:val="ListBullet"/>
      </w:pPr>
      <w:r>
        <w:t>Welke KPI-set en welk reviewritme gebruikt Almere om lokaal, regionaal en landelijk in de pas te lopen?</w:t>
      </w:r>
    </w:p>
    <w:p>
      <w:r>
        <w:t>Daarbij zijn er vier externe afhankelijkheden die niet genegeerd kunnen worden:</w:t>
      </w:r>
    </w:p>
    <w:p>
      <w:pPr>
        <w:pStyle w:val="ListBullet"/>
      </w:pPr>
      <w:r>
        <w:t>de regionale digitale infrastructuur in Flevoland;</w:t>
      </w:r>
    </w:p>
    <w:p>
      <w:pPr>
        <w:pStyle w:val="ListBullet"/>
      </w:pPr>
      <w:r>
        <w:t>de landelijke keuze voor de bekostigingsroute en inzet van middelen;</w:t>
      </w:r>
    </w:p>
    <w:p>
      <w:pPr>
        <w:pStyle w:val="ListBullet"/>
      </w:pPr>
      <w:r>
        <w:t>de regionale rolverdeling tussen gemeente, sociaal domein, zorgpartijen en governance-structuren;</w:t>
      </w:r>
    </w:p>
    <w:p>
      <w:pPr>
        <w:pStyle w:val="ListBullet"/>
      </w:pPr>
      <w:r>
        <w:t>de landelijke D5/D6- en monitoringscyclus richting 2028.</w:t>
      </w:r>
    </w:p>
    <w:p>
      <w:pPr>
        <w:pStyle w:val="Heading2"/>
      </w:pPr>
      <w:r>
        <w:t>Ambitie en Doelstellingen</w:t>
      </w:r>
    </w:p>
    <w:p>
      <w:r>
        <w:t>De ambitie is dat Almere in 2026 de stap zet van een impliciete naar een expliciete, bestuurlijk navolgbare AZWA-aanpak. Dat betekent niet alleen een beleidsdocument, maar een uitvoerbaar arrangement met duidelijke eigenaarschap, planning en financiering.</w:t>
      </w:r>
    </w:p>
    <w:p>
      <w:r>
        <w:t>De doelstellingen zijn:</w:t>
      </w:r>
    </w:p>
    <w:p>
      <w:pPr>
        <w:pStyle w:val="ListBullet"/>
      </w:pPr>
      <w:r>
        <w:t>uiterlijk in Q3 2026 een bestuurlijk gedragen lokale D5-werkagenda met expliciete prioriteiten, doelgroepen en interventielogica;</w:t>
      </w:r>
    </w:p>
    <w:p>
      <w:pPr>
        <w:pStyle w:val="ListBullet"/>
      </w:pPr>
      <w:r>
        <w:t>uiterlijk in Q3 2026 een regiemodel voor D6 met rolverdeling voor gemeente, GGD Flevoland, regionale partners, lokale teams en wijkverbanden;</w:t>
      </w:r>
    </w:p>
    <w:p>
      <w:pPr>
        <w:pStyle w:val="ListBullet"/>
      </w:pPr>
      <w:r>
        <w:t>uiterlijk in Q4 2026 een financieel arrangement voor 2027-2028, gekoppeld aan de meicirculaire 2026 en de begroting 2027;</w:t>
      </w:r>
    </w:p>
    <w:p>
      <w:pPr>
        <w:pStyle w:val="ListBullet"/>
      </w:pPr>
      <w:r>
        <w:t>uiterlijk in Q4 2026 een monitoringsarrangement met een compacte KPI-set, halfjaarlijkse review en aansluiting op de landelijke herijking van 2028;</w:t>
      </w:r>
    </w:p>
    <w:p>
      <w:pPr>
        <w:pStyle w:val="ListBullet"/>
      </w:pPr>
      <w:r>
        <w:t>richting 2030 een bestendige lokale inbedding van de gekozen D5/D6-lijn.</w:t>
      </w:r>
    </w:p>
    <w:p>
      <w:pPr>
        <w:pStyle w:val="Heading2"/>
      </w:pPr>
      <w:r>
        <w:t>Scope en afbakening</w:t>
      </w:r>
    </w:p>
    <w:p>
      <w:r>
        <w:rPr>
          <w:b/>
        </w:rPr>
        <w:t>In scope</w:t>
      </w:r>
    </w:p>
    <w:p>
      <w:pPr>
        <w:pStyle w:val="ListBullet"/>
      </w:pPr>
      <w:r>
        <w:t>lokale vertaling van D5-prioriteiten, doelgroepen en interventiekeuzes;</w:t>
      </w:r>
    </w:p>
    <w:p>
      <w:pPr>
        <w:pStyle w:val="ListBullet"/>
      </w:pPr>
      <w:r>
        <w:t>bestuurlijke en organisatorische inrichting van D6, inclusief lokale teams, wijkverbanden en regionale aansluiting;</w:t>
      </w:r>
    </w:p>
    <w:p>
      <w:pPr>
        <w:pStyle w:val="ListBullet"/>
      </w:pPr>
      <w:r>
        <w:t>financiele vertaling naar meicirculaire 2026, begroting 2027 en startpakket 2027-2028;</w:t>
      </w:r>
    </w:p>
    <w:p>
      <w:pPr>
        <w:pStyle w:val="ListBullet"/>
      </w:pPr>
      <w:r>
        <w:t>monitoring, evaluatie, communicatie en participatie;</w:t>
      </w:r>
    </w:p>
    <w:p>
      <w:pPr>
        <w:pStyle w:val="ListBullet"/>
      </w:pPr>
      <w:r>
        <w:t>koppeling aan bestaande lokale lijnen zoals Positief Gezond Almere en de maatschappelijke agenda.</w:t>
      </w:r>
    </w:p>
    <w:p>
      <w:r>
        <w:rPr>
          <w:b/>
        </w:rPr>
        <w:t>Buiten scope</w:t>
      </w:r>
    </w:p>
    <w:p>
      <w:pPr>
        <w:pStyle w:val="ListBullet"/>
      </w:pPr>
      <w:r>
        <w:t>heronderhandeling van landelijke AZWA-afspraken;</w:t>
      </w:r>
    </w:p>
    <w:p>
      <w:pPr>
        <w:pStyle w:val="ListBullet"/>
      </w:pPr>
      <w:r>
        <w:t>individuele contractering van zorg;</w:t>
      </w:r>
    </w:p>
    <w:p>
      <w:pPr>
        <w:pStyle w:val="ListBullet"/>
      </w:pPr>
      <w:r>
        <w:t>een volledig zelfstandige Almeerse uitwerking van D7;</w:t>
      </w:r>
    </w:p>
    <w:p>
      <w:pPr>
        <w:pStyle w:val="ListBullet"/>
      </w:pPr>
      <w:r>
        <w:t>landelijke normstelling, landelijke tools en landelijke monitorontwikkeling.</w:t>
      </w:r>
    </w:p>
    <w:p>
      <w:r>
        <w:rPr>
          <w:b/>
        </w:rPr>
        <w:t>Praktische afbakening</w:t>
      </w:r>
      <w:r>
        <w:t xml:space="preserve"> Dit plan behandelt D7 alleen als regionaal raakvlak. De repository en de Almere-view zijn inhoudelijk vooral ingericht op D5 en D6. Dat is dus ook de primaire scope van deze rapportversies.</w:t>
      </w:r>
    </w:p>
    <w:p>
      <w:pPr>
        <w:pStyle w:val="Heading2"/>
      </w:pPr>
      <w:r>
        <w:t>Samenwerking en governance (rollen en betrokkenen, besluitvorming)</w:t>
      </w:r>
    </w:p>
    <w:p>
      <w:r>
        <w:t>De gemeente Almere is eigenaar van de lokale vertaling. Dat vraagt om een compacte maar expliciete governance-structuur.</w:t>
      </w:r>
    </w:p>
    <w:p>
      <w:r>
        <w:rPr>
          <w:b/>
        </w:rPr>
        <w:t>Gemeente Almere</w:t>
      </w:r>
    </w:p>
    <w:p>
      <w:pPr>
        <w:pStyle w:val="ListBullet"/>
      </w:pPr>
      <w:r>
        <w:t>bestuurlijk opdrachtgever: portefeuillehouders sociaal domein en gezondheid;</w:t>
      </w:r>
    </w:p>
    <w:p>
      <w:pPr>
        <w:pStyle w:val="ListBullet"/>
      </w:pPr>
      <w:r>
        <w:t>ambtelijk trekker: programmamanager AZWA Almere;</w:t>
      </w:r>
    </w:p>
    <w:p>
      <w:pPr>
        <w:pStyle w:val="ListBullet"/>
      </w:pPr>
      <w:r>
        <w:t>inhoudelijke trekkers: beleid sociaal domein, publieke gezondheid, jeugd, financien en monitoring.</w:t>
      </w:r>
    </w:p>
    <w:p>
      <w:r>
        <w:rPr>
          <w:b/>
        </w:rPr>
        <w:t>Regionale en lokale partners</w:t>
      </w:r>
    </w:p>
    <w:p>
      <w:pPr>
        <w:pStyle w:val="ListBullet"/>
      </w:pPr>
      <w:r>
        <w:t>GGD Flevoland voor kennis, preventie-infrastructuur, regionale coordinatie en koppeling met de Flevolandse monitor;</w:t>
      </w:r>
    </w:p>
    <w:p>
      <w:pPr>
        <w:pStyle w:val="ListBullet"/>
      </w:pPr>
      <w:r>
        <w:t>Flevolandse IZA-governance en mandaatstructuur voor regionale afstemming;</w:t>
      </w:r>
    </w:p>
    <w:p>
      <w:pPr>
        <w:pStyle w:val="ListBullet"/>
      </w:pPr>
      <w:r>
        <w:t>zorgverzekeraars en aanbieders voor uitvoerbaarheid, rolverdeling en bekostigingsroute;</w:t>
      </w:r>
    </w:p>
    <w:p>
      <w:pPr>
        <w:pStyle w:val="ListBullet"/>
      </w:pPr>
      <w:r>
        <w:t>lokale teams, welzijn, eerstelijn, jeugdhulp, onderwijs, sport en Positief Gezond Almere voor uitvoering en lokale verankering.</w:t>
      </w:r>
    </w:p>
    <w:p>
      <w:r>
        <w:rPr>
          <w:b/>
        </w:rPr>
        <w:t>Besluitvorming</w:t>
      </w:r>
    </w:p>
    <w:p>
      <w:pPr>
        <w:pStyle w:val="ListBullet"/>
      </w:pPr>
      <w:r>
        <w:t>ambtelijk: uitwerken van een keuze- en uitvoeringspakket in drie rondes;</w:t>
      </w:r>
    </w:p>
    <w:p>
      <w:pPr>
        <w:pStyle w:val="ListBullet"/>
      </w:pPr>
      <w:r>
        <w:t>bestuurlijk: besluitvorming door het college over koers, middelen en regiemodel;</w:t>
      </w:r>
    </w:p>
    <w:p>
      <w:pPr>
        <w:pStyle w:val="ListBullet"/>
      </w:pPr>
      <w:r>
        <w:t>politiek: raad meenemen via P&amp;C, meicirculaire en voortgangsrapportage;</w:t>
      </w:r>
    </w:p>
    <w:p>
      <w:pPr>
        <w:pStyle w:val="ListBullet"/>
      </w:pPr>
      <w:r>
        <w:t>regionaal: vastleggen welke onderdelen lokaal en welke regionaal worden belegd.</w:t>
      </w:r>
    </w:p>
    <w:p>
      <w:pPr>
        <w:pStyle w:val="Heading2"/>
      </w:pPr>
      <w:r>
        <w:t>Aanpak en strategie</w:t>
      </w:r>
    </w:p>
    <w:p>
      <w:r>
        <w:t>De aanpak volgt vier principes.</w:t>
      </w:r>
    </w:p>
    <w:p>
      <w:r>
        <w:rPr>
          <w:b/>
        </w:rPr>
        <w:t>1. Van impliciet naar expliciet</w:t>
      </w:r>
      <w:r>
        <w:t xml:space="preserve"> Wat in de huidige Almere-stukken nog verspreid of impliciet staat, wordt in een samenhangend lokaal AZWA-kader samengebracht.</w:t>
      </w:r>
    </w:p>
    <w:p>
      <w:r>
        <w:rPr>
          <w:b/>
        </w:rPr>
        <w:t>2. Bouwen op wat er al is</w:t>
      </w:r>
      <w:r>
        <w:t xml:space="preserve"> De bestaande Almere-lijn wordt niet vervangen maar benut. Positief Gezond Almere, de maatschappelijke agenda en de lokale gezondheids- en sociaal-domeincontext vormen de basis.</w:t>
      </w:r>
    </w:p>
    <w:p>
      <w:r>
        <w:rPr>
          <w:b/>
        </w:rPr>
        <w:t>3. Eerst keuzes vastleggen, daarna opschalen</w:t>
      </w:r>
      <w:r>
        <w:t xml:space="preserve"> Zonder keuzes over prioriteiten, eigenaarschap, middelen en monitoring ontstaat bestuurlijke mist. Daarom staan deze vier keuzevragen eerst.</w:t>
      </w:r>
    </w:p>
    <w:p>
      <w:r>
        <w:rPr>
          <w:b/>
        </w:rPr>
        <w:t>4. Leren in de uitvoering</w:t>
      </w:r>
      <w:r>
        <w:t xml:space="preserve"> Het plan wordt opgezet als lerende uitvoeringslijn met halfjaarlijkse review, regionale afstemming en herijking in 2028.</w:t>
      </w:r>
    </w:p>
    <w:p>
      <w:pPr>
        <w:pStyle w:val="Heading2"/>
      </w:pPr>
      <w:r>
        <w:t>Actielijnen, werkpakketten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Werkpakket</w:t>
            </w:r>
          </w:p>
        </w:tc>
        <w:tc>
          <w:tcPr>
            <w:tcW w:type="dxa" w:w="2880"/>
          </w:tcPr>
          <w:p>
            <w:r>
              <w:rPr>
                <w:b/>
              </w:rPr>
            </w:r>
            <w:r>
              <w:rPr>
                <w:b/>
              </w:rPr>
              <w:t>Resultaat</w:t>
            </w:r>
          </w:p>
        </w:tc>
        <w:tc>
          <w:tcPr>
            <w:tcW w:type="dxa" w:w="2880"/>
          </w:tcPr>
          <w:p>
            <w:r>
              <w:rPr>
                <w:b/>
              </w:rPr>
            </w:r>
            <w:r>
              <w:rPr>
                <w:b/>
              </w:rPr>
              <w:t>Trekker</w:t>
            </w:r>
          </w:p>
        </w:tc>
      </w:tr>
      <w:tr>
        <w:tc>
          <w:tcPr>
            <w:tcW w:type="dxa" w:w="2880"/>
          </w:tcPr>
          <w:p>
            <w:r/>
            <w:r>
              <w:t>WP1 D5-werkagenda</w:t>
            </w:r>
          </w:p>
        </w:tc>
        <w:tc>
          <w:tcPr>
            <w:tcW w:type="dxa" w:w="2880"/>
          </w:tcPr>
          <w:p>
            <w:r/>
            <w:r>
              <w:t>Prioritering van D5-interventies, doelgroepen en lokale werkvolgorde</w:t>
            </w:r>
          </w:p>
        </w:tc>
        <w:tc>
          <w:tcPr>
            <w:tcW w:type="dxa" w:w="2880"/>
          </w:tcPr>
          <w:p>
            <w:r/>
            <w:r>
              <w:t>Gemeente Almere</w:t>
            </w:r>
          </w:p>
        </w:tc>
      </w:tr>
      <w:tr>
        <w:tc>
          <w:tcPr>
            <w:tcW w:type="dxa" w:w="2880"/>
          </w:tcPr>
          <w:p>
            <w:r/>
            <w:r>
              <w:t>WP2 D6-governance</w:t>
            </w:r>
          </w:p>
        </w:tc>
        <w:tc>
          <w:tcPr>
            <w:tcW w:type="dxa" w:w="2880"/>
          </w:tcPr>
          <w:p>
            <w:r/>
            <w:r>
              <w:t>Regiemodel voor lokale teams, wijkverbanden en regionale rolverdeling</w:t>
            </w:r>
          </w:p>
        </w:tc>
        <w:tc>
          <w:tcPr>
            <w:tcW w:type="dxa" w:w="2880"/>
          </w:tcPr>
          <w:p>
            <w:r/>
            <w:r>
              <w:t>Gemeente Almere met GGD Flevoland</w:t>
            </w:r>
          </w:p>
        </w:tc>
      </w:tr>
      <w:tr>
        <w:tc>
          <w:tcPr>
            <w:tcW w:type="dxa" w:w="2880"/>
          </w:tcPr>
          <w:p>
            <w:r/>
            <w:r>
              <w:t>WP3 Middelen en meicirculaire</w:t>
            </w:r>
          </w:p>
        </w:tc>
        <w:tc>
          <w:tcPr>
            <w:tcW w:type="dxa" w:w="2880"/>
          </w:tcPr>
          <w:p>
            <w:r/>
            <w:r>
              <w:t>Financieel scenario voor 2027-2028 en vertaling naar begroting 2027</w:t>
            </w:r>
          </w:p>
        </w:tc>
        <w:tc>
          <w:tcPr>
            <w:tcW w:type="dxa" w:w="2880"/>
          </w:tcPr>
          <w:p>
            <w:r/>
            <w:r>
              <w:t>Gemeente Almere financien/control</w:t>
            </w:r>
          </w:p>
        </w:tc>
      </w:tr>
      <w:tr>
        <w:tc>
          <w:tcPr>
            <w:tcW w:type="dxa" w:w="2880"/>
          </w:tcPr>
          <w:p>
            <w:r/>
            <w:r>
              <w:t>WP4 Monitoring en evaluatie</w:t>
            </w:r>
          </w:p>
        </w:tc>
        <w:tc>
          <w:tcPr>
            <w:tcW w:type="dxa" w:w="2880"/>
          </w:tcPr>
          <w:p>
            <w:r/>
            <w:r>
              <w:t>KPI-set, dashboardafspraken en reviewritme richting 2028</w:t>
            </w:r>
          </w:p>
        </w:tc>
        <w:tc>
          <w:tcPr>
            <w:tcW w:type="dxa" w:w="2880"/>
          </w:tcPr>
          <w:p>
            <w:r/>
            <w:r>
              <w:t>Gemeente Almere monitoring met regio</w:t>
            </w:r>
          </w:p>
        </w:tc>
      </w:tr>
      <w:tr>
        <w:tc>
          <w:tcPr>
            <w:tcW w:type="dxa" w:w="2880"/>
          </w:tcPr>
          <w:p>
            <w:r/>
            <w:r>
              <w:t>WP5 Regionale afstemming</w:t>
            </w:r>
          </w:p>
        </w:tc>
        <w:tc>
          <w:tcPr>
            <w:tcW w:type="dxa" w:w="2880"/>
          </w:tcPr>
          <w:p>
            <w:r/>
            <w:r>
              <w:t>Koppeling aan Flevolandse infrastructuur en governance</w:t>
            </w:r>
          </w:p>
        </w:tc>
        <w:tc>
          <w:tcPr>
            <w:tcW w:type="dxa" w:w="2880"/>
          </w:tcPr>
          <w:p>
            <w:r/>
            <w:r>
              <w:t>Gemeente Almere en regionale partners</w:t>
            </w:r>
          </w:p>
        </w:tc>
      </w:tr>
      <w:tr>
        <w:tc>
          <w:tcPr>
            <w:tcW w:type="dxa" w:w="2880"/>
          </w:tcPr>
          <w:p>
            <w:r/>
            <w:r>
              <w:t>WP6 Communicatie en participatie</w:t>
            </w:r>
          </w:p>
        </w:tc>
        <w:tc>
          <w:tcPr>
            <w:tcW w:type="dxa" w:w="2880"/>
          </w:tcPr>
          <w:p>
            <w:r/>
            <w:r>
              <w:t>Heldere bestuurlijke en publieke uitleg van keuzes, rollen en planning</w:t>
            </w:r>
          </w:p>
        </w:tc>
        <w:tc>
          <w:tcPr>
            <w:tcW w:type="dxa" w:w="2880"/>
          </w:tcPr>
          <w:p>
            <w:r/>
            <w:r>
              <w:t>Gemeente Almere communicatie</w:t>
            </w:r>
          </w:p>
        </w:tc>
      </w:tr>
    </w:tbl>
    <w:p/>
    <w:p>
      <w:pPr>
        <w:pStyle w:val="Heading2"/>
      </w:pPr>
      <w:r>
        <w:t>Personele inzet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w:t>
            </w:r>
          </w:p>
        </w:tc>
        <w:tc>
          <w:tcPr>
            <w:tcW w:type="dxa" w:w="2880"/>
          </w:tcPr>
          <w:p>
            <w:r>
              <w:rPr>
                <w:b/>
              </w:rPr>
            </w:r>
            <w:r>
              <w:rPr>
                <w:b/>
              </w:rPr>
              <w:t>Indicatieve inzet</w:t>
            </w:r>
          </w:p>
        </w:tc>
        <w:tc>
          <w:tcPr>
            <w:tcW w:type="dxa" w:w="2880"/>
          </w:tcPr>
          <w:p>
            <w:r>
              <w:rPr>
                <w:b/>
              </w:rPr>
            </w:r>
            <w:r>
              <w:rPr>
                <w:b/>
              </w:rPr>
              <w:t>Hoofdtaken</w:t>
            </w:r>
          </w:p>
        </w:tc>
      </w:tr>
      <w:tr>
        <w:tc>
          <w:tcPr>
            <w:tcW w:type="dxa" w:w="2880"/>
          </w:tcPr>
          <w:p>
            <w:r/>
            <w:r>
              <w:t>Programmamanager AZWA Almere</w:t>
            </w:r>
          </w:p>
        </w:tc>
        <w:tc>
          <w:tcPr>
            <w:tcW w:type="dxa" w:w="2880"/>
          </w:tcPr>
          <w:p>
            <w:r/>
            <w:r>
              <w:t>0,8 fte</w:t>
            </w:r>
          </w:p>
        </w:tc>
        <w:tc>
          <w:tcPr>
            <w:tcW w:type="dxa" w:w="2880"/>
          </w:tcPr>
          <w:p>
            <w:r/>
            <w:r>
              <w:t>Integrale aansturing van WP1 tot en met WP6</w:t>
            </w:r>
          </w:p>
        </w:tc>
      </w:tr>
      <w:tr>
        <w:tc>
          <w:tcPr>
            <w:tcW w:type="dxa" w:w="2880"/>
          </w:tcPr>
          <w:p>
            <w:r/>
            <w:r>
              <w:t>Beleidsadviseur sociaal domein</w:t>
            </w:r>
          </w:p>
        </w:tc>
        <w:tc>
          <w:tcPr>
            <w:tcW w:type="dxa" w:w="2880"/>
          </w:tcPr>
          <w:p>
            <w:r/>
            <w:r>
              <w:t>0,4 fte</w:t>
            </w:r>
          </w:p>
        </w:tc>
        <w:tc>
          <w:tcPr>
            <w:tcW w:type="dxa" w:w="2880"/>
          </w:tcPr>
          <w:p>
            <w:r/>
            <w:r>
              <w:t>D5, lokale teams, participatie</w:t>
            </w:r>
          </w:p>
        </w:tc>
      </w:tr>
      <w:tr>
        <w:tc>
          <w:tcPr>
            <w:tcW w:type="dxa" w:w="2880"/>
          </w:tcPr>
          <w:p>
            <w:r/>
            <w:r>
              <w:t>Beleidsadviseur publieke gezondheid</w:t>
            </w:r>
          </w:p>
        </w:tc>
        <w:tc>
          <w:tcPr>
            <w:tcW w:type="dxa" w:w="2880"/>
          </w:tcPr>
          <w:p>
            <w:r/>
            <w:r>
              <w:t>0,4 fte</w:t>
            </w:r>
          </w:p>
        </w:tc>
        <w:tc>
          <w:tcPr>
            <w:tcW w:type="dxa" w:w="2880"/>
          </w:tcPr>
          <w:p>
            <w:r/>
            <w:r>
              <w:t>D6, GGD-koppeling, preventie-infrastructuur</w:t>
            </w:r>
          </w:p>
        </w:tc>
      </w:tr>
      <w:tr>
        <w:tc>
          <w:tcPr>
            <w:tcW w:type="dxa" w:w="2880"/>
          </w:tcPr>
          <w:p>
            <w:r/>
            <w:r>
              <w:t>Beleidsadviseur jeugd</w:t>
            </w:r>
          </w:p>
        </w:tc>
        <w:tc>
          <w:tcPr>
            <w:tcW w:type="dxa" w:w="2880"/>
          </w:tcPr>
          <w:p>
            <w:r/>
            <w:r>
              <w:t>0,2 fte</w:t>
            </w:r>
          </w:p>
        </w:tc>
        <w:tc>
          <w:tcPr>
            <w:tcW w:type="dxa" w:w="2880"/>
          </w:tcPr>
          <w:p>
            <w:r/>
            <w:r>
              <w:t>Jeugd, school, preventie en doelgroepen</w:t>
            </w:r>
          </w:p>
        </w:tc>
      </w:tr>
      <w:tr>
        <w:tc>
          <w:tcPr>
            <w:tcW w:type="dxa" w:w="2880"/>
          </w:tcPr>
          <w:p>
            <w:r/>
            <w:r>
              <w:t>Financieel adviseur/controller</w:t>
            </w:r>
          </w:p>
        </w:tc>
        <w:tc>
          <w:tcPr>
            <w:tcW w:type="dxa" w:w="2880"/>
          </w:tcPr>
          <w:p>
            <w:r/>
            <w:r>
              <w:t>0,2 fte</w:t>
            </w:r>
          </w:p>
        </w:tc>
        <w:tc>
          <w:tcPr>
            <w:tcW w:type="dxa" w:w="2880"/>
          </w:tcPr>
          <w:p>
            <w:r/>
            <w:r>
              <w:t>Meicirculaire, begroting 2027, financieringsscenario's</w:t>
            </w:r>
          </w:p>
        </w:tc>
      </w:tr>
      <w:tr>
        <w:tc>
          <w:tcPr>
            <w:tcW w:type="dxa" w:w="2880"/>
          </w:tcPr>
          <w:p>
            <w:r/>
            <w:r>
              <w:t>Data- en monitoringsadviseur</w:t>
            </w:r>
          </w:p>
        </w:tc>
        <w:tc>
          <w:tcPr>
            <w:tcW w:type="dxa" w:w="2880"/>
          </w:tcPr>
          <w:p>
            <w:r/>
            <w:r>
              <w:t>0,2 fte</w:t>
            </w:r>
          </w:p>
        </w:tc>
        <w:tc>
          <w:tcPr>
            <w:tcW w:type="dxa" w:w="2880"/>
          </w:tcPr>
          <w:p>
            <w:r/>
            <w:r>
              <w:t>KPI's, dashboard, reviewcyclus</w:t>
            </w:r>
          </w:p>
        </w:tc>
      </w:tr>
      <w:tr>
        <w:tc>
          <w:tcPr>
            <w:tcW w:type="dxa" w:w="2880"/>
          </w:tcPr>
          <w:p>
            <w:r/>
            <w:r>
              <w:t>Communicatieadviseur</w:t>
            </w:r>
          </w:p>
        </w:tc>
        <w:tc>
          <w:tcPr>
            <w:tcW w:type="dxa" w:w="2880"/>
          </w:tcPr>
          <w:p>
            <w:r/>
            <w:r>
              <w:t>0,1 fte</w:t>
            </w:r>
          </w:p>
        </w:tc>
        <w:tc>
          <w:tcPr>
            <w:tcW w:type="dxa" w:w="2880"/>
          </w:tcPr>
          <w:p>
            <w:r/>
            <w:r>
              <w:t>Raad, partners, participatie en publieksuitleg</w:t>
            </w:r>
          </w:p>
        </w:tc>
      </w:tr>
    </w:tbl>
    <w:p/>
    <w:p>
      <w:r>
        <w:t>De inzet is indicatief en moet waar mogelijk worden ingevuld met bestaande capaciteit, regionale samenwerking en lopende programma's.</w:t>
      </w:r>
    </w:p>
    <w:p>
      <w:pPr>
        <w:pStyle w:val="Heading2"/>
      </w:pPr>
      <w:r>
        <w:t>Concrete acties en planning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Periode</w:t>
            </w:r>
          </w:p>
        </w:tc>
        <w:tc>
          <w:tcPr>
            <w:tcW w:type="dxa" w:w="2880"/>
          </w:tcPr>
          <w:p>
            <w:r>
              <w:rPr>
                <w:b/>
              </w:rPr>
            </w:r>
            <w:r>
              <w:rPr>
                <w:b/>
              </w:rPr>
              <w:t>Actie</w:t>
            </w:r>
          </w:p>
        </w:tc>
        <w:tc>
          <w:tcPr>
            <w:tcW w:type="dxa" w:w="2880"/>
          </w:tcPr>
          <w:p>
            <w:r>
              <w:rPr>
                <w:b/>
              </w:rPr>
            </w:r>
            <w:r>
              <w:rPr>
                <w:b/>
              </w:rPr>
              <w:t>Op te leveren resultaat</w:t>
            </w:r>
          </w:p>
        </w:tc>
      </w:tr>
      <w:tr>
        <w:tc>
          <w:tcPr>
            <w:tcW w:type="dxa" w:w="2880"/>
          </w:tcPr>
          <w:p>
            <w:r/>
            <w:r>
              <w:t>April-mei 2026</w:t>
            </w:r>
          </w:p>
        </w:tc>
        <w:tc>
          <w:tcPr>
            <w:tcW w:type="dxa" w:w="2880"/>
          </w:tcPr>
          <w:p>
            <w:r/>
            <w:r>
              <w:t>Nulmeting op de Almere-view en samenbrengen van lokale bronnen</w:t>
            </w:r>
          </w:p>
        </w:tc>
        <w:tc>
          <w:tcPr>
            <w:tcW w:type="dxa" w:w="2880"/>
          </w:tcPr>
          <w:p>
            <w:r/>
            <w:r>
              <w:t>Factsheet, gap-analyse en startnotitie</w:t>
            </w:r>
          </w:p>
        </w:tc>
      </w:tr>
      <w:tr>
        <w:tc>
          <w:tcPr>
            <w:tcW w:type="dxa" w:w="2880"/>
          </w:tcPr>
          <w:p>
            <w:r/>
            <w:r>
              <w:t>Mei-juni 2026</w:t>
            </w:r>
          </w:p>
        </w:tc>
        <w:tc>
          <w:tcPr>
            <w:tcW w:type="dxa" w:w="2880"/>
          </w:tcPr>
          <w:p>
            <w:r/>
            <w:r>
              <w:t>Uitwerken keuzevoorstel voor D5-prioritering en D6-regiemodel</w:t>
            </w:r>
          </w:p>
        </w:tc>
        <w:tc>
          <w:tcPr>
            <w:tcW w:type="dxa" w:w="2880"/>
          </w:tcPr>
          <w:p>
            <w:r/>
            <w:r>
              <w:t>Besluitnotitie voor college</w:t>
            </w:r>
          </w:p>
        </w:tc>
      </w:tr>
      <w:tr>
        <w:tc>
          <w:tcPr>
            <w:tcW w:type="dxa" w:w="2880"/>
          </w:tcPr>
          <w:p>
            <w:r/>
            <w:r>
              <w:t>Juni-juli 2026</w:t>
            </w:r>
          </w:p>
        </w:tc>
        <w:tc>
          <w:tcPr>
            <w:tcW w:type="dxa" w:w="2880"/>
          </w:tcPr>
          <w:p>
            <w:r/>
            <w:r>
              <w:t>Doorrekenen van scenario's rond de meicirculaire 2026</w:t>
            </w:r>
          </w:p>
        </w:tc>
        <w:tc>
          <w:tcPr>
            <w:tcW w:type="dxa" w:w="2880"/>
          </w:tcPr>
          <w:p>
            <w:r/>
            <w:r>
              <w:t>Financieel kader voor begroting 2027</w:t>
            </w:r>
          </w:p>
        </w:tc>
      </w:tr>
      <w:tr>
        <w:tc>
          <w:tcPr>
            <w:tcW w:type="dxa" w:w="2880"/>
          </w:tcPr>
          <w:p>
            <w:r/>
            <w:r>
              <w:t>Juli-september 2026</w:t>
            </w:r>
          </w:p>
        </w:tc>
        <w:tc>
          <w:tcPr>
            <w:tcW w:type="dxa" w:w="2880"/>
          </w:tcPr>
          <w:p>
            <w:r/>
            <w:r>
              <w:t>Regionale afstemming over rollen, infrastructuur en lokale inbreng</w:t>
            </w:r>
          </w:p>
        </w:tc>
        <w:tc>
          <w:tcPr>
            <w:tcW w:type="dxa" w:w="2880"/>
          </w:tcPr>
          <w:p>
            <w:r/>
            <w:r>
              <w:t>Regionale rolmatrix en Almeerse inbrengnotitie</w:t>
            </w:r>
          </w:p>
        </w:tc>
      </w:tr>
      <w:tr>
        <w:tc>
          <w:tcPr>
            <w:tcW w:type="dxa" w:w="2880"/>
          </w:tcPr>
          <w:p>
            <w:r/>
            <w:r>
              <w:t>Q4 2026</w:t>
            </w:r>
          </w:p>
        </w:tc>
        <w:tc>
          <w:tcPr>
            <w:tcW w:type="dxa" w:w="2880"/>
          </w:tcPr>
          <w:p>
            <w:r/>
            <w:r>
              <w:t>Vaststellen uitvoeringsplan 2027-2028</w:t>
            </w:r>
          </w:p>
        </w:tc>
        <w:tc>
          <w:tcPr>
            <w:tcW w:type="dxa" w:w="2880"/>
          </w:tcPr>
          <w:p>
            <w:r/>
            <w:r>
              <w:t>Lokaal uitvoeringsplan met KPI's en eigenaarschap</w:t>
            </w:r>
          </w:p>
        </w:tc>
      </w:tr>
      <w:tr>
        <w:tc>
          <w:tcPr>
            <w:tcW w:type="dxa" w:w="2880"/>
          </w:tcPr>
          <w:p>
            <w:r/>
            <w:r>
              <w:t>2027-2028</w:t>
            </w:r>
          </w:p>
        </w:tc>
        <w:tc>
          <w:tcPr>
            <w:tcW w:type="dxa" w:w="2880"/>
          </w:tcPr>
          <w:p>
            <w:r/>
            <w:r>
              <w:t>Uitvoering, halfjaarlijkse reviews en bijsturing</w:t>
            </w:r>
          </w:p>
        </w:tc>
        <w:tc>
          <w:tcPr>
            <w:tcW w:type="dxa" w:w="2880"/>
          </w:tcPr>
          <w:p>
            <w:r/>
            <w:r>
              <w:t>Voortgangsrapportage en leeragenda</w:t>
            </w:r>
          </w:p>
        </w:tc>
      </w:tr>
      <w:tr>
        <w:tc>
          <w:tcPr>
            <w:tcW w:type="dxa" w:w="2880"/>
          </w:tcPr>
          <w:p>
            <w:r/>
            <w:r>
              <w:t>2028</w:t>
            </w:r>
          </w:p>
        </w:tc>
        <w:tc>
          <w:tcPr>
            <w:tcW w:type="dxa" w:w="2880"/>
          </w:tcPr>
          <w:p>
            <w:r/>
            <w:r>
              <w:t>Herijking op basis van landelijke actualisatiecyclus</w:t>
            </w:r>
          </w:p>
        </w:tc>
        <w:tc>
          <w:tcPr>
            <w:tcW w:type="dxa" w:w="2880"/>
          </w:tcPr>
          <w:p>
            <w:r/>
            <w:r>
              <w:t>Herijkingsbesluit Almere</w:t>
            </w:r>
          </w:p>
        </w:tc>
      </w:tr>
      <w:tr>
        <w:tc>
          <w:tcPr>
            <w:tcW w:type="dxa" w:w="2880"/>
          </w:tcPr>
          <w:p>
            <w:r/>
            <w:r>
              <w:t>2030</w:t>
            </w:r>
          </w:p>
        </w:tc>
        <w:tc>
          <w:tcPr>
            <w:tcW w:type="dxa" w:w="2880"/>
          </w:tcPr>
          <w:p>
            <w:r/>
            <w:r>
              <w:t>Eindbeeld bestendige dekking</w:t>
            </w:r>
          </w:p>
        </w:tc>
        <w:tc>
          <w:tcPr>
            <w:tcW w:type="dxa" w:w="2880"/>
          </w:tcPr>
          <w:p>
            <w:r/>
            <w:r>
              <w:t>Evaluatie op structurele inbedding</w:t>
            </w:r>
          </w:p>
        </w:tc>
      </w:tr>
    </w:tbl>
    <w:p/>
    <w:p>
      <w:pPr>
        <w:pStyle w:val="Heading2"/>
      </w:pPr>
      <w:r>
        <w:t>Middelen en Financien Meicirculaire</w:t>
      </w:r>
    </w:p>
    <w:p>
      <w:r>
        <w:t>De dataset maakt duidelijk dat de landelijke bekostigingsroute voor D5/D6 nog niet volledig is uitgekristalliseerd. Volgens de bronlijn is de financieringsvorm voor sociaal-domeinmiddelen afhankelijk van een apart proces tussen VNG, fondsbeheerders en VWS. Dat betekent dat Almere in 2026 moet sturen op een robuuste tussenstrategie in plaats van op schijnzekerheid.</w:t>
      </w:r>
    </w:p>
    <w:p>
      <w:r>
        <w:t>Voor Almere betekent dit concreet:</w:t>
      </w:r>
    </w:p>
    <w:p>
      <w:pPr>
        <w:pStyle w:val="ListBullet"/>
      </w:pPr>
      <w:r>
        <w:t>de meicirculaire 2026 is het eerstvolgende formele moment om middelen voor 2027 bestuurlijk te vertalen;</w:t>
      </w:r>
    </w:p>
    <w:p>
      <w:pPr>
        <w:pStyle w:val="ListBullet"/>
      </w:pPr>
      <w:r>
        <w:t>de begroting 2027 moet een tijdelijk maar navolgbaar financieringsarrangement bevatten;</w:t>
      </w:r>
    </w:p>
    <w:p>
      <w:pPr>
        <w:pStyle w:val="ListBullet"/>
      </w:pPr>
      <w:r>
        <w:t>het landelijke startpakket voor 2027-2028 is een logisch anker voor fasering en verantwoording;</w:t>
      </w:r>
    </w:p>
    <w:p>
      <w:pPr>
        <w:pStyle w:val="ListBullet"/>
      </w:pPr>
      <w:r>
        <w:t>waar relevant worden bestaande lijnen zoals SPUK IZA en regionale transformatiemiddelen benut;</w:t>
      </w:r>
    </w:p>
    <w:p>
      <w:pPr>
        <w:pStyle w:val="ListBullet"/>
      </w:pPr>
      <w:r>
        <w:t>cofinanciering en prioritering moeten bestuurlijk expliciet worden gemaakt, juist omdat de lokale verdeling van middelen nog niet expliciet zichtbaar is.</w:t>
      </w:r>
    </w:p>
    <w:p>
      <w:r>
        <w:t>Financiele strategie voor 2026:</w:t>
      </w:r>
    </w:p>
    <w:p>
      <w:pPr>
        <w:pStyle w:val="ListNumber"/>
      </w:pPr>
      <w:r>
        <w:t>Werk met een basisscenario op basis van de meicirculaire 2026.</w:t>
      </w:r>
    </w:p>
    <w:p>
      <w:pPr>
        <w:pStyle w:val="ListNumber"/>
      </w:pPr>
      <w:r>
        <w:t>Maak een versnellingsscenario als regionale of landelijke middelen sneller beschikbaar komen.</w:t>
      </w:r>
    </w:p>
    <w:p>
      <w:pPr>
        <w:pStyle w:val="ListNumber"/>
      </w:pPr>
      <w:r>
        <w:t>Reserveer expliciet voor governance, monitoring en regionale digitale aansluiting.</w:t>
      </w:r>
    </w:p>
    <w:p>
      <w:pPr>
        <w:pStyle w:val="ListNumber"/>
      </w:pPr>
      <w:r>
        <w:t>Leg vast welk deel naar directe interventies gaat en welk deel naar infrastructuur en ondersteunende voorwaarden.</w:t>
      </w:r>
    </w:p>
    <w:p>
      <w:pPr>
        <w:pStyle w:val="Heading2"/>
      </w:pPr>
      <w:r>
        <w:t>Risico's en beheersmaatregelen en randvoorwaarden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Risico</w:t>
            </w:r>
          </w:p>
        </w:tc>
        <w:tc>
          <w:tcPr>
            <w:tcW w:type="dxa" w:w="2880"/>
          </w:tcPr>
          <w:p>
            <w:r>
              <w:rPr>
                <w:b/>
              </w:rPr>
            </w:r>
            <w:r>
              <w:rPr>
                <w:b/>
              </w:rPr>
              <w:t>Effect</w:t>
            </w:r>
          </w:p>
        </w:tc>
        <w:tc>
          <w:tcPr>
            <w:tcW w:type="dxa" w:w="2880"/>
          </w:tcPr>
          <w:p>
            <w:r>
              <w:rPr>
                <w:b/>
              </w:rPr>
            </w:r>
            <w:r>
              <w:rPr>
                <w:b/>
              </w:rPr>
              <w:t>Beheersmaatregel</w:t>
            </w:r>
          </w:p>
        </w:tc>
      </w:tr>
      <w:tr>
        <w:tc>
          <w:tcPr>
            <w:tcW w:type="dxa" w:w="2880"/>
          </w:tcPr>
          <w:p>
            <w:r/>
            <w:r>
              <w:t>Onduidelijke landelijke bekostigingsroute</w:t>
            </w:r>
          </w:p>
        </w:tc>
        <w:tc>
          <w:tcPr>
            <w:tcW w:type="dxa" w:w="2880"/>
          </w:tcPr>
          <w:p>
            <w:r/>
            <w:r>
              <w:t>Vertraging in lokale budgettering</w:t>
            </w:r>
          </w:p>
        </w:tc>
        <w:tc>
          <w:tcPr>
            <w:tcW w:type="dxa" w:w="2880"/>
          </w:tcPr>
          <w:p>
            <w:r/>
            <w:r>
              <w:t>Scenario's uitwerken rond de meicirculaire 2026 en begroting 2027</w:t>
            </w:r>
          </w:p>
        </w:tc>
      </w:tr>
      <w:tr>
        <w:tc>
          <w:tcPr>
            <w:tcW w:type="dxa" w:w="2880"/>
          </w:tcPr>
          <w:p>
            <w:r/>
            <w:r>
              <w:t>Onheldere rolverdeling in Flevoland</w:t>
            </w:r>
          </w:p>
        </w:tc>
        <w:tc>
          <w:tcPr>
            <w:tcW w:type="dxa" w:w="2880"/>
          </w:tcPr>
          <w:p>
            <w:r/>
            <w:r>
              <w:t>Traag besluitvormingsproces en overlap in uitvoering</w:t>
            </w:r>
          </w:p>
        </w:tc>
        <w:tc>
          <w:tcPr>
            <w:tcW w:type="dxa" w:w="2880"/>
          </w:tcPr>
          <w:p>
            <w:r/>
            <w:r>
              <w:t>Regionale rolmatrix en bestuurlijke escalatielijn vastleggen</w:t>
            </w:r>
          </w:p>
        </w:tc>
      </w:tr>
      <w:tr>
        <w:tc>
          <w:tcPr>
            <w:tcW w:type="dxa" w:w="2880"/>
          </w:tcPr>
          <w:p>
            <w:r/>
            <w:r>
              <w:t>Afhankelijkheid van regionale digitale infrastructuur</w:t>
            </w:r>
          </w:p>
        </w:tc>
        <w:tc>
          <w:tcPr>
            <w:tcW w:type="dxa" w:w="2880"/>
          </w:tcPr>
          <w:p>
            <w:r/>
            <w:r>
              <w:t>Vertraging in gegevensuitwisseling en monitoring</w:t>
            </w:r>
          </w:p>
        </w:tc>
        <w:tc>
          <w:tcPr>
            <w:tcW w:type="dxa" w:w="2880"/>
          </w:tcPr>
          <w:p>
            <w:r/>
            <w:r>
              <w:t>Digitale aansluiting als apart onderdeel van WP5 opnemen</w:t>
            </w:r>
          </w:p>
        </w:tc>
      </w:tr>
      <w:tr>
        <w:tc>
          <w:tcPr>
            <w:tcW w:type="dxa" w:w="2880"/>
          </w:tcPr>
          <w:p>
            <w:r/>
            <w:r>
              <w:t>Lokale keuzes blijven impliciet</w:t>
            </w:r>
          </w:p>
        </w:tc>
        <w:tc>
          <w:tcPr>
            <w:tcW w:type="dxa" w:w="2880"/>
          </w:tcPr>
          <w:p>
            <w:r/>
            <w:r>
              <w:t>Geen duidelijk eigenaarschap of bestuurlijke sturing</w:t>
            </w:r>
          </w:p>
        </w:tc>
        <w:tc>
          <w:tcPr>
            <w:tcW w:type="dxa" w:w="2880"/>
          </w:tcPr>
          <w:p>
            <w:r/>
            <w:r>
              <w:t>Vier keuzevragen vertalen in expliciete collegebesluiten</w:t>
            </w:r>
          </w:p>
        </w:tc>
      </w:tr>
      <w:tr>
        <w:tc>
          <w:tcPr>
            <w:tcW w:type="dxa" w:w="2880"/>
          </w:tcPr>
          <w:p>
            <w:r/>
            <w:r>
              <w:t>Beperkte uitvoeringscapaciteit</w:t>
            </w:r>
          </w:p>
        </w:tc>
        <w:tc>
          <w:tcPr>
            <w:tcW w:type="dxa" w:w="2880"/>
          </w:tcPr>
          <w:p>
            <w:r/>
            <w:r>
              <w:t>Te brede agenda en te weinig realisatiekracht</w:t>
            </w:r>
          </w:p>
        </w:tc>
        <w:tc>
          <w:tcPr>
            <w:tcW w:type="dxa" w:w="2880"/>
          </w:tcPr>
          <w:p>
            <w:r/>
            <w:r>
              <w:t>Prioriteren en faseren, met focus op 2026-besluiten en 2027-2028-uitvoering</w:t>
            </w:r>
          </w:p>
        </w:tc>
      </w:tr>
      <w:tr>
        <w:tc>
          <w:tcPr>
            <w:tcW w:type="dxa" w:w="2880"/>
          </w:tcPr>
          <w:p>
            <w:r/>
            <w:r>
              <w:t>Reviewpunten in de dataset</w:t>
            </w:r>
          </w:p>
        </w:tc>
        <w:tc>
          <w:tcPr>
            <w:tcW w:type="dxa" w:w="2880"/>
          </w:tcPr>
          <w:p>
            <w:r/>
            <w:r>
              <w:t>Risico op overschatting van lokale zekerheid</w:t>
            </w:r>
          </w:p>
        </w:tc>
        <w:tc>
          <w:tcPr>
            <w:tcW w:type="dxa" w:w="2880"/>
          </w:tcPr>
          <w:p>
            <w:r/>
            <w:r>
              <w:t>Alleen harde basis als feit gebruiken; open punten als keuze, risico of afhankelijkheid formuleren</w:t>
            </w:r>
          </w:p>
        </w:tc>
      </w:tr>
    </w:tbl>
    <w:p/>
    <w:p>
      <w:r>
        <w:t>Randvoorwaarden zijn bestuurlijke prioriteit in 2026, voldoende ambtelijke trekkracht, regionale medewerking en tijdige financiele vertaling via de meicirculaire.</w:t>
      </w:r>
    </w:p>
    <w:p>
      <w:pPr>
        <w:pStyle w:val="Heading2"/>
      </w:pPr>
      <w:r>
        <w:t>Monitoring en evaluatie</w:t>
      </w:r>
    </w:p>
    <w:p>
      <w:r>
        <w:t>Monitoring moet niet alleen verantwoorden, maar ook bestuurlijk leren mogelijk maken. Daarom wordt een compacte set van indicatoren voorgesteld langs vier lijnen:</w:t>
      </w:r>
    </w:p>
    <w:p>
      <w:pPr>
        <w:pStyle w:val="ListBullet"/>
      </w:pPr>
      <w:r>
        <w:t>governance: zijn eigenaarschap, rolverdeling en besluitritme expliciet en werkbaar;</w:t>
      </w:r>
    </w:p>
    <w:p>
      <w:pPr>
        <w:pStyle w:val="ListBullet"/>
      </w:pPr>
      <w:r>
        <w:t>uitvoering: zijn D5-keuzes en D6-structuur aantoonbaar vertaald in acties en samenwerking;</w:t>
      </w:r>
    </w:p>
    <w:p>
      <w:pPr>
        <w:pStyle w:val="ListBullet"/>
      </w:pPr>
      <w:r>
        <w:t>bereik en toegankelijkheid: is zichtbaar wat inwoners, professionals en partners hiervan merken;</w:t>
      </w:r>
    </w:p>
    <w:p>
      <w:pPr>
        <w:pStyle w:val="ListBullet"/>
      </w:pPr>
      <w:r>
        <w:t>middelen en leren: sluiten bestedingen, voortgang en regionale en landelijke reviews op elkaar aan.</w:t>
      </w:r>
    </w:p>
    <w:p>
      <w:r>
        <w:t>De reviewfrequentie is halfjaarlijks, met een zwaardere bestuurlijke herijking in 2028. De monitor sluit aan op bestaande Flevolandse en Almeerse informatiebronnen en blijft zo licht mogelijk.</w:t>
      </w:r>
    </w:p>
    <w:p>
      <w:pPr>
        <w:pStyle w:val="Heading2"/>
      </w:pPr>
      <w:r>
        <w:t>Communicatie en participatie</w:t>
      </w:r>
    </w:p>
    <w:p>
      <w:r>
        <w:t>Communicatie en participatie worden niet als sluitstuk gezien maar als randvoorwaarde voor uitvoering.</w:t>
      </w:r>
    </w:p>
    <w:p>
      <w:r>
        <w:rPr>
          <w:b/>
        </w:rPr>
        <w:t>Doelgroepen</w:t>
      </w:r>
    </w:p>
    <w:p>
      <w:pPr>
        <w:pStyle w:val="ListBullet"/>
      </w:pPr>
      <w:r>
        <w:t>bestuur en raad;</w:t>
      </w:r>
    </w:p>
    <w:p>
      <w:pPr>
        <w:pStyle w:val="ListBullet"/>
      </w:pPr>
      <w:r>
        <w:t>regionale partners en uitvoerders;</w:t>
      </w:r>
    </w:p>
    <w:p>
      <w:pPr>
        <w:pStyle w:val="ListBullet"/>
      </w:pPr>
      <w:r>
        <w:t>inwoners en wijknetwerken;</w:t>
      </w:r>
    </w:p>
    <w:p>
      <w:pPr>
        <w:pStyle w:val="ListBullet"/>
      </w:pPr>
      <w:r>
        <w:t>lopende programma's zoals Positief Gezond Almere.</w:t>
      </w:r>
    </w:p>
    <w:p>
      <w:r>
        <w:rPr>
          <w:b/>
        </w:rPr>
        <w:t>Lijn</w:t>
      </w:r>
    </w:p>
    <w:p>
      <w:pPr>
        <w:pStyle w:val="ListBullet"/>
      </w:pPr>
      <w:r>
        <w:t>maak keuzes zichtbaar in gewone taal;</w:t>
      </w:r>
    </w:p>
    <w:p>
      <w:pPr>
        <w:pStyle w:val="ListBullet"/>
      </w:pPr>
      <w:r>
        <w:t>gebruik bestaande overleggen en netwerken in plaats van nieuwe tafels;</w:t>
      </w:r>
    </w:p>
    <w:p>
      <w:pPr>
        <w:pStyle w:val="ListBullet"/>
      </w:pPr>
      <w:r>
        <w:t>organiseer terugkoppeling op keuzes, voortgang en leerpunten;</w:t>
      </w:r>
    </w:p>
    <w:p>
      <w:pPr>
        <w:pStyle w:val="ListBullet"/>
      </w:pPr>
      <w:r>
        <w:t>laat steeds zien wat lokaal is besloten, wat regionaal loopt en wat landelijk nog in ontwikkeling is.</w:t>
      </w:r>
    </w:p>
    <w:p>
      <w:pPr>
        <w:pStyle w:val="Heading2"/>
      </w:pPr>
      <w:r>
        <w:t>Besluitvorming en vervolgstappen</w:t>
      </w:r>
    </w:p>
    <w:p>
      <w:r>
        <w:t>Voor 2026 zijn vier formele beslismomenten logisch:</w:t>
      </w:r>
    </w:p>
    <w:p>
      <w:pPr>
        <w:pStyle w:val="ListNumber"/>
      </w:pPr>
      <w:r>
        <w:t>Mei-juni 2026: keuze over prioritering van D5-interventies en de contouren van het D6-regiemodel.</w:t>
      </w:r>
    </w:p>
    <w:p>
      <w:pPr>
        <w:pStyle w:val="ListNumber"/>
      </w:pPr>
      <w:r>
        <w:t>Juni-juli 2026: keuze over middelenverdeling op basis van de meicirculaire 2026.</w:t>
      </w:r>
    </w:p>
    <w:p>
      <w:pPr>
        <w:pStyle w:val="ListNumber"/>
      </w:pPr>
      <w:r>
        <w:t>Augustus-september 2026: keuze over regionale rolverdeling, digitale aansluiting en Almeerse inbreng.</w:t>
      </w:r>
    </w:p>
    <w:p>
      <w:pPr>
        <w:pStyle w:val="ListNumber"/>
      </w:pPr>
      <w:r>
        <w:t>Q4 2026: vaststelling van het uitvoeringsplan 2027-2028, inclusief KPI's, eigenaarschap en rapportagecyclus.</w:t>
      </w:r>
    </w:p>
    <w:p>
      <w:r>
        <w:t>Daarna verschuift het zwaartepunt naar uitvoering, halfjaarlijkse reviews en herijking in 2028.</w:t>
      </w:r>
    </w:p>
    <w:p>
      <w:pPr>
        <w:pStyle w:val="Heading2"/>
      </w:pPr>
      <w:r>
        <w:t>Verantwoording</w:t>
      </w:r>
    </w:p>
    <w:p>
      <w:r>
        <w:t>Datatoets 22 april 2026: de rapporten zijn gecontroleerd tegen `site_almere_view.json`, `almere_current_view.json` en `qc_report.json`. De QC-rapportage laat 0 blocking issues, 0 warnings en 26 reviewpunten zien. De gebruikte aanpak is daarom bewust bronkritisch:</w:t>
      </w:r>
    </w:p>
    <w:p>
      <w:pPr>
        <w:pStyle w:val="ListBullet"/>
      </w:pPr>
      <w:r>
        <w:t>harde landelijke basis en expliciete Almere-beelden zijn als feit gebruikt;</w:t>
      </w:r>
    </w:p>
    <w:p>
      <w:pPr>
        <w:pStyle w:val="ListBullet"/>
      </w:pPr>
      <w:r>
        <w:t>lokale onderwerpen met `needs_human_review` of bestuurlijke keuzevragen zijn niet als vastgesteld beleid gepresenteerd;</w:t>
      </w:r>
    </w:p>
    <w:p>
      <w:pPr>
        <w:pStyle w:val="ListBullet"/>
      </w:pPr>
      <w:r>
        <w:t>lokale hiaten uit de Almere-view zijn rechtstreeks vertaald naar werkpakketten, planning en besluiten.</w:t>
      </w:r>
    </w:p>
    <w:p>
      <w:r>
        <w:t>Deze werkwijze maakt het plan bruikbaar voor sturing, zonder de dataset meer zekerheid toe te schrijven dan zij op 22 april 2026 daadwerkelijk biedt.</w:t>
      </w:r>
    </w:p>
    <w:p>
      <w:pPr>
        <w:pStyle w:val="Heading2"/>
      </w:pPr>
      <w:r>
        <w:t>Bijlagen</w:t>
      </w:r>
    </w:p>
    <w:p>
      <w:pPr>
        <w:pStyle w:val="ListBullet"/>
      </w:pPr>
      <w:r>
        <w:t>Bijlage A: bronoverzicht met peildatum 2026-04-22.</w:t>
      </w:r>
    </w:p>
    <w:p>
      <w:pPr>
        <w:pStyle w:val="ListBullet"/>
      </w:pPr>
      <w:r>
        <w:t>Bijlage B: overzicht huidige Almere-documenten en hun bijdrage aan de analyse.</w:t>
      </w:r>
    </w:p>
    <w:p>
      <w:pPr>
        <w:pStyle w:val="ListBullet"/>
      </w:pPr>
      <w:r>
        <w:t>Bijlage C: lokale gaps, keuzevragen en externe afhankelijkheden uit de Almere-view.</w:t>
      </w:r>
    </w:p>
    <w:p>
      <w:pPr>
        <w:pStyle w:val="ListBullet"/>
      </w:pPr>
      <w:r>
        <w:t>Bijlage D: werkpakketten, planning en beslismomenten 2026-2030.</w:t>
      </w:r>
    </w:p>
    <w:p>
      <w:pPr>
        <w:pStyle w:val="ListBullet"/>
      </w:pPr>
      <w:r>
        <w:t>Bijlage E: datatoets en QC-samenvatting.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