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van Aanpak Almere: AZWA D5, D6 en D7 (Bijlage D5 werkagenda)</w:t>
      </w:r>
    </w:p>
    <w:p>
      <w:r>
        <w:rPr>
          <w:b/>
        </w:rPr>
        <w:t>Versie 2: uitgebreid</w:t>
      </w:r>
      <w:r>
        <w:t xml:space="preserve"> Bron: Aanvullend Zorg- en Welzijnsakkoord, versie 1.0, augustus 2025. Content p60-66 (D5, D6, D7) en p100-104 (Bijlage D5, Basisfunctionaliteiten samenwerking zorgdomein en sociaal domein). Peildatum: 2026-04-22.</w:t>
      </w:r>
    </w:p>
    <w:p>
      <w:pPr>
        <w:pStyle w:val="Heading2"/>
      </w:pPr>
      <w:r>
        <w:t>Inleiding en aanleiding</w:t>
      </w:r>
    </w:p>
    <w:p>
      <w:r>
        <w:t>Het AZWA bouwt voort op het IZA en het GALA en legt afspraken vast over een duurzame beweging van zorg naar gezondheid en welbevinden. De afspraken die gemeente Almere het meest direct raken, staan op p60-66: D5 versterken samenwerking op het snijvlak (eerstelijns)zorgdomein en sociaal domein, D6 inrichting basisinfrastructuur in het sociaal domein en D7 voldoende participatie voor de invulling van avond-, nacht-, weekend- en crisisdiensten.</w:t>
      </w:r>
    </w:p>
    <w:p>
      <w:r>
        <w:t>Bijlage D5 op p100-104 werkt het mechanisme uit: landelijk wordt het "wat" afgesproken (basisfunctionaliteiten, criteria en een landelijke gereedschapskist) en lokaal bepaalt Almere het "hoe". De afspraken zijn wederkerig en gaan over concrete basisfunctionaliteiten op het snijvlak van het sociaal domein en het zorgdomein. Voor Almere betekent dit een gerichte, meerjarige lokale vertaling met bestuurlijke aanspreekbaarheid en een heldere koppeling aan bestaande structuren zoals het IZA-regioplan Flevoland en de rol van GGD Flevoland.</w:t>
      </w:r>
    </w:p>
    <w:p>
      <w:pPr>
        <w:pStyle w:val="Heading2"/>
      </w:pPr>
      <w:r>
        <w:t>Probleemanalyse en lokale opgave</w:t>
      </w:r>
    </w:p>
    <w:p>
      <w:r>
        <w:t>De inhoudelijke opgave valt uiteen in vier blokken.</w:t>
      </w:r>
    </w:p>
    <w:p>
      <w:r>
        <w:rPr>
          <w:b/>
        </w:rPr>
        <w:t>Basisfunctionaliteiten (D5), vier leefgebieden</w:t>
      </w:r>
      <w:r>
        <w:t xml:space="preserve"> (p60, p102): Kansrijk opgroeien, Gezonde leefstijl, Mentale gezondheid en Vitaal ouder worden. Het verminderen van gezondheidsachterstanden en vergroten van zelfredzaamheid loopt als rode draad door deze vier thema's.</w:t>
      </w:r>
    </w:p>
    <w:p>
      <w:r>
        <w:rPr>
          <w:b/>
        </w:rPr>
        <w:t>D5 basisfunctionaliteiten reeds onderbouwd</w:t>
      </w:r>
      <w:r>
        <w:t xml:space="preserve"> (Tabel 1, p61): laagdrempelige steunpunten EPA, Sociaal Verwijzen (mentale gezondheid); Valpreventie (vitaal ouder worden); Ketenaanpak overgewicht en obesitas volwassenen (GLI) (gezonde leefstijl); Kansrijke start met integrale gezinspoli en Nu Niet Zwanger (kansrijk opgroeien).</w:t>
      </w:r>
    </w:p>
    <w:p>
      <w:r>
        <w:rPr>
          <w:b/>
        </w:rPr>
        <w:t>D5 ontwikkelagenda 1, Q1 2026 tot basisfunctionaliteit door te ontwikkelen</w:t>
      </w:r>
      <w:r>
        <w:t xml:space="preserve"> (p60, p61): Mentale Gezondheidsnetwerken (onder andere Verkennend Gesprek), Ketenaanpak dementie (incl. preventie), Ketenaanpak overgewicht kinderen, Rookvrije start binnen Kansrijke Start, Multiproblematiek aanpak (NPLV).</w:t>
      </w:r>
    </w:p>
    <w:p>
      <w:r>
        <w:rPr>
          <w:b/>
        </w:rPr>
        <w:t>D5 ontwikkelagenda deel 2, langere termijn</w:t>
      </w:r>
      <w:r>
        <w:t xml:space="preserve"> (p61): aanpak eenzaamheid, wachttijd ondersteuning, lotgenotengroepen, toeleiden naar werk, verslavingspreventie, nicotinevrij, samenwerking ziekenhuis en gemeenten, seksuele gezondheid, middelengebruik (roken, vapen, drugs, alcohol), mentale gezondheid jeugd, stevig ouderschap, gokken/gamen, multiproblematiek aanpak, verhogen vaccinatiegraad, aanpak armoede en schulden.</w:t>
      </w:r>
    </w:p>
    <w:p>
      <w:r>
        <w:rPr>
          <w:b/>
        </w:rPr>
        <w:t>D6 basisinfrastructuur</w:t>
      </w:r>
      <w:r>
        <w:t xml:space="preserve"> (p64, tabellen p64): inloopvoorzieningen sociaal en gezond (buurt en ziekenhuis, inclusief gezondheidsloketten), lokale teams aangesloten op hechte wijkverbanden eerstelijn (inclusief aansluiting jgz), coördinatie gemeenten, versterken samenwerking medisch (inclusief regie uitvoering basisfunctionaliteiten), (Mentale) gezonde school, lokale coalities Kansrijke Start, buursportcoaches, suïcidepreventie, middelen SPUK IZA.</w:t>
      </w:r>
    </w:p>
    <w:p>
      <w:r>
        <w:rPr>
          <w:b/>
        </w:rPr>
        <w:t>D7 ANW- en crisisdiensten</w:t>
      </w:r>
      <w:r>
        <w:t xml:space="preserve"> (p66-67): continuïteit van ANW- en crisisdiensten onder druk, specifiek in de ggz. Doelstelling: uiterlijk 1-1-2027 vanuit elke regio werkdruk verdeeld of robuuste continuïteit in dekking ANW/crisisdiensten ggz. Inschatting: 70% inzetbare psychiaters in de regio levert bijdrage in 2027. Almeerse rol is faciliterend; regio-partners en zorgverzekeraar zijn primair aan zet.</w:t>
      </w:r>
    </w:p>
    <w:p>
      <w:r>
        <w:rPr>
          <w:b/>
        </w:rPr>
        <w:t>Open vraagstukken in openbare Almere-documenten</w:t>
      </w:r>
      <w:r>
        <w:t>: expliciete positionering van lokale teams binnen hechte wijkverbanden; wie coördineert (her)inrichting inloopvoorzieningen; hoe verhoudt de coördinerende rol van GGD Flevoland (regioplan/regiobeeld, kennis- en adviesfunctie, ketenaanpakken) zich tot gemeentelijke regie; hoe worden doorbraakmiddelen (landelijk €100 mln in 2027 en €100 mln in 2028, p63) lokaal ontsloten via Zvw-aanbiederplannen.</w:t>
      </w:r>
    </w:p>
    <w:p>
      <w:pPr>
        <w:pStyle w:val="Heading2"/>
      </w:pPr>
      <w:r>
        <w:t>Ambitie en Doelstellingen</w:t>
      </w:r>
    </w:p>
    <w:p>
      <w:pPr>
        <w:pStyle w:val="ListBullet"/>
      </w:pPr>
      <w:r>
        <w:t>Alle vier leefgebieden door basisfunctionaliteiten onderbouwd in Almere vóór 2030 (landelijke einddatum dekking, p63), met tussentijdse herijking in 2028 (p62).</w:t>
      </w:r>
    </w:p>
    <w:p>
      <w:pPr>
        <w:pStyle w:val="ListBullet"/>
      </w:pPr>
      <w:r>
        <w:t>Stevige lokale teams uiterlijk Q4 2028 overal aangesloten binnen hechte wijkverbanden in Almere (p66).</w:t>
      </w:r>
    </w:p>
    <w:p>
      <w:pPr>
        <w:pStyle w:val="ListBullet"/>
      </w:pPr>
      <w:r>
        <w:t>Almeerse inbreng in het regionale aanvullende plan (onderdeel van aangevuld IZA-regioplan) uiterlijk eind september 2026 (p63).</w:t>
      </w:r>
    </w:p>
    <w:p>
      <w:pPr>
        <w:pStyle w:val="ListBullet"/>
      </w:pPr>
      <w:r>
        <w:t>Bijdrage aan robuuste continuïteit ANW- en crisisdiensten in Flevoland per 1-1-2027, inclusief ten minste 70% participatie van inzetbare psychiaters in de regio (p67).</w:t>
      </w:r>
    </w:p>
    <w:p>
      <w:pPr>
        <w:pStyle w:val="ListBullet"/>
      </w:pPr>
      <w:r>
        <w:t>Navolgbare, wederkerige verantwoording: gemeente, zorgverzekeraars en aanbieders gelijkwaardig aan tafel en wederzijds aanspreekbaar (p63, p101).</w:t>
      </w:r>
    </w:p>
    <w:p>
      <w:pPr>
        <w:pStyle w:val="Heading2"/>
      </w:pPr>
      <w:r>
        <w:t>Scope en afbakening</w:t>
      </w:r>
    </w:p>
    <w:p>
      <w:r>
        <w:rPr>
          <w:b/>
        </w:rPr>
        <w:t>In scope</w:t>
      </w:r>
      <w:r>
        <w:t>: D5 basisfunctionaliteiten onderbouwd (kolom 1 Tabel 1) en ontwikkelagenda 1 (kolom 2); D6 basisinfrastructuur (inloopvoorzieningen, lokale teams, (Mentale) gezonde school, coördinatie, buursportcoaches, suïcidepreventie, lokale coalities Kansrijke Start); regionale aanvullende plan september 2026; faciliterende Almeerse bijdrage aan D7; koppeling met gereedschapskist (o.a. Vallen Verleden Tijd, In Balans, Thuis Onbezorgd Mobiel, p63).</w:t>
      </w:r>
    </w:p>
    <w:p>
      <w:r>
        <w:rPr>
          <w:b/>
        </w:rPr>
        <w:t>Uit scope</w:t>
      </w:r>
      <w:r>
        <w:t>: ontwikkelagenda 2 (komt later); beheer landelijke gereedschapskist (valt onder ZN, VNG en VWS met kennispartners Zorginstituut, GGD GHOR Nederland, SWN, Trimbos, RIVM, Movisie, NJi, p103); wetgevingsverkenning verankering gezondheidstaken (VWS inventariseert, p66); individuele ggz-contractering (zorgverzekeraar); inrichting landelijke monitor (VWS).</w:t>
      </w:r>
    </w:p>
    <w:p>
      <w:r>
        <w:rPr>
          <w:b/>
        </w:rPr>
        <w:t>Afbakening doorbraakmiddelen</w:t>
      </w:r>
      <w:r>
        <w:t>: Almere kan niet zelfstandig aanvragen voor doorbraakmiddelen; alleen meeliften op een Zvw-aanbiederplan, mits dat niet al over MGN of basisinfra gaat (p63 noot 33).</w:t>
      </w:r>
    </w:p>
    <w:p>
      <w:pPr>
        <w:pStyle w:val="Heading2"/>
      </w:pPr>
      <w:r>
        <w:t>Samenwerking en governance (rollen en betrokkenen, besluitvorming)</w:t>
      </w:r>
    </w:p>
    <w:p>
      <w:r>
        <w:rPr>
          <w:b/>
        </w:rPr>
        <w:t>Gemeentelijke trekkers in Almere</w:t>
      </w:r>
    </w:p>
    <w:p>
      <w:pPr>
        <w:pStyle w:val="ListBullet"/>
      </w:pPr>
      <w:r>
        <w:t>Portefeuillehouders sociaal domein en gezondheid (bestuurlijk).</w:t>
      </w:r>
    </w:p>
    <w:p>
      <w:pPr>
        <w:pStyle w:val="ListBullet"/>
      </w:pPr>
      <w:r>
        <w:t>Programmamanager AZWA-D5/D6/D7 (ambtelijk).</w:t>
      </w:r>
    </w:p>
    <w:p>
      <w:pPr>
        <w:pStyle w:val="ListBullet"/>
      </w:pPr>
      <w:r>
        <w:t>Afdelingshoofden sociaal domein, publieke gezondheid en jeugd.</w:t>
      </w:r>
    </w:p>
    <w:p>
      <w:r>
        <w:rPr>
          <w:b/>
        </w:rPr>
        <w:t>Regionale en lokale partners</w:t>
      </w:r>
    </w:p>
    <w:p>
      <w:pPr>
        <w:pStyle w:val="ListBullet"/>
      </w:pPr>
      <w:r>
        <w:t>GGD Flevoland: regionale coördinatie ketenaanpakken (valpreventie, overgewicht, Kansrijke Start), kennis- en adviesfunctie, verbinding regioplan/regiobeeld, (Mentale) gezonde school-advies (p65).</w:t>
      </w:r>
    </w:p>
    <w:p>
      <w:pPr>
        <w:pStyle w:val="ListBullet"/>
      </w:pPr>
      <w:r>
        <w:t>Mandaatgemeente Flevoland: coördinatie regionaal aanvullend plan en afstemming met zorgverzekeraars (p63).</w:t>
      </w:r>
    </w:p>
    <w:p>
      <w:pPr>
        <w:pStyle w:val="ListBullet"/>
      </w:pPr>
      <w:r>
        <w:t>Zorgverzekeraars (Zilveren Kruis als marktleider in de regio en overige).</w:t>
      </w:r>
    </w:p>
    <w:p>
      <w:pPr>
        <w:pStyle w:val="ListBullet"/>
      </w:pPr>
      <w:r>
        <w:t>Huisartsen en RHO, LHV-afdeling Flevoland.</w:t>
      </w:r>
    </w:p>
    <w:p>
      <w:pPr>
        <w:pStyle w:val="ListBullet"/>
      </w:pPr>
      <w:r>
        <w:t>Ggz-aanbieders in de regio (in relatie tot D7-doorbraakprogramma onder regie NVvP, NIP, V&amp;VN, p67).</w:t>
      </w:r>
    </w:p>
    <w:p>
      <w:pPr>
        <w:pStyle w:val="ListBullet"/>
      </w:pPr>
      <w:r>
        <w:t>Wijkverpleging, sociaal werk (SWN-netwerk), jeugdhulp, welzijnswerk, onderwijs, sport, vrijwilligers- en burgerinitiatieven.</w:t>
      </w:r>
    </w:p>
    <w:p>
      <w:r>
        <w:rPr>
          <w:b/>
        </w:rPr>
        <w:t>Landelijke governance</w:t>
      </w:r>
      <w:r>
        <w:t xml:space="preserve"> (Bijlage D5 p104)</w:t>
      </w:r>
    </w:p>
    <w:p>
      <w:pPr>
        <w:pStyle w:val="ListBullet"/>
      </w:pPr>
      <w:r>
        <w:t>BO IZA/AZWA is het bestuurlijk kader; trekkers VNG, ZN en VWS zetten de onderwerpen uit de ontwikkelagenda uit.</w:t>
      </w:r>
    </w:p>
    <w:p>
      <w:pPr>
        <w:pStyle w:val="ListBullet"/>
      </w:pPr>
      <w:r>
        <w:t>Kennispartners voor de gereedschapskist: Zorginstituut, GGD GHOR Nederland, SWN, Trimbos, RIVM, Movisie, NJi (p103).</w:t>
      </w:r>
    </w:p>
    <w:p>
      <w:pPr>
        <w:pStyle w:val="ListBullet"/>
      </w:pPr>
      <w:r>
        <w:t>Werkagenda team Rijksoverheid (VWS, NZa, Zorginstituut, IGJ), zie bijlage p105.</w:t>
      </w:r>
    </w:p>
    <w:p>
      <w:r>
        <w:rPr>
          <w:b/>
        </w:rPr>
        <w:t>Besluitvormingsritme</w:t>
      </w:r>
    </w:p>
    <w:p>
      <w:pPr>
        <w:pStyle w:val="ListBullet"/>
      </w:pPr>
      <w:r>
        <w:t>Landelijk kader D5 vastgesteld Q4 2025 in BO IZA/AZWA (p62).</w:t>
      </w:r>
    </w:p>
    <w:p>
      <w:pPr>
        <w:pStyle w:val="ListBullet"/>
      </w:pPr>
      <w:r>
        <w:t>Q1 2026 landelijke afspraken basisinfrastructuur D6 en prioritering ontwikkelagenda 1 (p62, p66).</w:t>
      </w:r>
    </w:p>
    <w:p>
      <w:pPr>
        <w:pStyle w:val="ListBullet"/>
      </w:pPr>
      <w:r>
        <w:t>Almere: collegebesluit Q4 2025 over lokale uitgangspunten; jaarlijks raadinformatiebrief bij meicirculaire; collegebesluit bij oplevering regionaal plan (september 2026).</w:t>
      </w:r>
    </w:p>
    <w:p>
      <w:pPr>
        <w:pStyle w:val="ListBullet"/>
      </w:pPr>
      <w:r>
        <w:t>Monitoringafspraken lopen mee met reguliere verantwoording aan de gemeenteraad, administratief zo licht mogelijk (p63, p102).</w:t>
      </w:r>
    </w:p>
    <w:p>
      <w:pPr>
        <w:pStyle w:val="Heading2"/>
      </w:pPr>
      <w:r>
        <w:t>Aanpak en strategie</w:t>
      </w:r>
    </w:p>
    <w:p>
      <w:r>
        <w:t>Drie sporen, zo lean mogelijk vormgegeven.</w:t>
      </w:r>
    </w:p>
    <w:p>
      <w:r>
        <w:rPr>
          <w:b/>
        </w:rPr>
        <w:t>Spoor 1. Onderbouwde basisfunctionaliteiten snel borgen.</w:t>
      </w:r>
      <w:r>
        <w:t xml:space="preserve"> Start met de vijf al inhoudelijk vastgelegde basisfunctionaliteiten (EPA-steunpunten, Sociaal Verwijzen, Valpreventie, GLI volwassenen, Kansrijke Start). Breng in kaart waar Almere nu staat, welke hiaten er zijn en wat nodig is om ze aantoonbaar beschikbaar te maken voor álle Almeerse inwoners. Gebruik de gereedschapskist in plaats van nieuwe interventies te ontwikkelen (voorbeelden valpreventie in de kist: Vallen Verleden Tijd, In Balans, Thuis Onbezorgd Mobiel, p63).</w:t>
      </w:r>
    </w:p>
    <w:p>
      <w:r>
        <w:rPr>
          <w:b/>
        </w:rPr>
        <w:t>Spoor 2. Ontwikkelagenda 1 lokaal vooroplopen.</w:t>
      </w:r>
      <w:r>
        <w:t xml:space="preserve"> Bij de Q1 2026-doorontwikkeling actief landelijk inbrengen wat Almere kan leveren (praktijkkennis, zowel vanuit de lokale teams als vanuit het Transformatieplan Positief Gezond Almere en de maatschappelijke agenda 2024-2034), en tegelijk lokaal klaarzetten wat nodig is zodra Verkennend Gesprek, Ketenaanpak dementie, Ketenaanpak overgewicht kinderen, Rookvrije start en NPLV landen.</w:t>
      </w:r>
    </w:p>
    <w:p>
      <w:r>
        <w:rPr>
          <w:b/>
        </w:rPr>
        <w:t>Spoor 3. D6-infrastructuur als drager.</w:t>
      </w:r>
      <w:r>
        <w:t xml:space="preserve"> Positioneer lokale teams, inloopvoorzieningen, gezonde-school-aanpak, buursportcoaches en suïcidepreventie als de lokale motor waarop alle D5-functionaliteiten kunnen rusten. Verbind dit regionaal via de coördinerende rol van GGD Flevoland op ketenaanpakken en preventie-infrastructuur (p65).</w:t>
      </w:r>
    </w:p>
    <w:p>
      <w:r>
        <w:rPr>
          <w:b/>
        </w:rPr>
        <w:t>Werkprincipes</w:t>
      </w:r>
    </w:p>
    <w:p>
      <w:pPr>
        <w:pStyle w:val="ListBullet"/>
      </w:pPr>
      <w:r>
        <w:t>Aansluiten bij bestaande structuren (IZA-regioplan, bestaande overleggen sociaal domein, GGD-structuur), geen extra overleglaag.</w:t>
      </w:r>
    </w:p>
    <w:p>
      <w:pPr>
        <w:pStyle w:val="ListBullet"/>
      </w:pPr>
      <w:r>
        <w:t>Wederkerigheid: gemeente en zorgdomein zijn op elkaar aanspreekbaar over wat ze leveren (p101).</w:t>
      </w:r>
    </w:p>
    <w:p>
      <w:pPr>
        <w:pStyle w:val="ListBullet"/>
      </w:pPr>
      <w:r>
        <w:t>Lerende aanpak: ontwikkelagenda, gereedschapskist en implementatie gaan hand in hand, met periodieke bijstelling (p103).</w:t>
      </w:r>
    </w:p>
    <w:p>
      <w:pPr>
        <w:pStyle w:val="ListBullet"/>
      </w:pPr>
      <w:r>
        <w:t>Administratieve lasten zo laag mogelijk: één regionaal plan, één monitoringkader, aansluiting op reguliere raadverantwoording (p102).</w:t>
      </w:r>
    </w:p>
    <w:p>
      <w:pPr>
        <w:pStyle w:val="Heading2"/>
      </w:pPr>
      <w:r>
        <w:t>Actielijnen, werkpakketten</w:t>
      </w:r>
    </w:p>
    <w:p>
      <w:pPr>
        <w:pStyle w:val="ListBullet"/>
      </w:pPr>
      <w:r>
        <w:rPr>
          <w:b/>
        </w:rPr>
        <w:t>WP1 Basisfunctionaliteiten onderbouwd (D5 kolom 1).</w:t>
      </w:r>
      <w:r>
        <w:t xml:space="preserve"> Nulmeting per functionaliteit (EPA, Sociaal Verwijzen, Valpreventie, GLI, Kansrijke Start); hiatenanalyse; planning aanvullende inzet; koppeling met gereedschapskist.</w:t>
      </w:r>
    </w:p>
    <w:p>
      <w:pPr>
        <w:pStyle w:val="ListBullet"/>
      </w:pPr>
      <w:r>
        <w:rPr>
          <w:b/>
        </w:rPr>
        <w:t>WP2 Ontwikkelagenda 1 (D5 kolom 2).</w:t>
      </w:r>
      <w:r>
        <w:t xml:space="preserve"> Lokale inbreng richting VNG, ZN en VWS vóór Q1 2026 voor Verkennend Gesprek, Ketenaanpak dementie (incl. preventie), Ketenaanpak overgewicht kinderen, Rookvrije start, Multiproblematiek aanpak (NPLV).</w:t>
      </w:r>
    </w:p>
    <w:p>
      <w:pPr>
        <w:pStyle w:val="ListBullet"/>
      </w:pPr>
      <w:r>
        <w:rPr>
          <w:b/>
        </w:rPr>
        <w:t>WP3 Basisinfrastructuur (D6).</w:t>
      </w:r>
      <w:r>
        <w:t xml:space="preserve"> Inrichting en versterking van inloopvoorzieningen sociaal en gezond (buurt en ziekenhuis), (Mentale) gezonde school samen met GGD, lokale teams aansluiten op alle hechte wijkverbanden (uiterlijk Q4 2028), buursportcoaches, suïcidepreventie, lokale coalities Kansrijke Start.</w:t>
      </w:r>
    </w:p>
    <w:p>
      <w:pPr>
        <w:pStyle w:val="ListBullet"/>
      </w:pPr>
      <w:r>
        <w:rPr>
          <w:b/>
        </w:rPr>
        <w:t>WP4 Regionale coördinatie (D6 plus Bijlage D5).</w:t>
      </w:r>
      <w:r>
        <w:t xml:space="preserve"> Almeerse bijdrage aan aangevuld regioplan uiterlijk eind september 2026; afstemming GGD Flevoland op ketenaanpakken en preventie-infrastructuur; positionering van Almere als NPLV-gebied waar relevant.</w:t>
      </w:r>
    </w:p>
    <w:p>
      <w:pPr>
        <w:pStyle w:val="ListBullet"/>
      </w:pPr>
      <w:r>
        <w:rPr>
          <w:b/>
        </w:rPr>
        <w:t>WP5 ANW- en crisisdiensten (D7), faciliterend.</w:t>
      </w:r>
      <w:r>
        <w:t xml:space="preserve"> Agenderen en volgen van het ggz-doorbraakprogramma (NVvP, NIP, V&amp;VN via Berenschot-rapport, p67); afstemming met zorgverzekeraar over dekkingspercentages; klachten- en signaleringsroute inwoners.</w:t>
      </w:r>
    </w:p>
    <w:p>
      <w:pPr>
        <w:pStyle w:val="ListBullet"/>
      </w:pPr>
      <w:r>
        <w:rPr>
          <w:b/>
        </w:rPr>
        <w:t>WP6 Financiën, meicirculaire en verantwoording.</w:t>
      </w:r>
      <w:r>
        <w:t xml:space="preserve"> Koppelen AZWA-middelen (D5, D6 en SPUK IZA) aan Almeerse begroting via meicirculaire; monitoring binnen reguliere P&amp;C-cyclus; jaarverslag AZWA-voortgang.</w:t>
      </w:r>
    </w:p>
    <w:p>
      <w:pPr>
        <w:pStyle w:val="Heading2"/>
      </w:pPr>
      <w:r>
        <w:t>Personele inzet</w:t>
      </w:r>
    </w:p>
    <w:p>
      <w:r>
        <w:t>Richtinggevende inzet (exclusief inzet via bestaande aanbieders en GGD Flevoland):</w:t>
      </w:r>
    </w:p>
    <w:p>
      <w:pPr>
        <w:pStyle w:val="ListBullet"/>
      </w:pPr>
      <w:r>
        <w:t>Programmamanager AZWA (~0,8 fte, gemeente): integraal trekker WP1-WP6.</w:t>
      </w:r>
    </w:p>
    <w:p>
      <w:pPr>
        <w:pStyle w:val="ListBullet"/>
      </w:pPr>
      <w:r>
        <w:t>Beleidsadviseur sociaal domein (~0,4 fte): aanspreekpunt WP1, WP3.</w:t>
      </w:r>
    </w:p>
    <w:p>
      <w:pPr>
        <w:pStyle w:val="ListBullet"/>
      </w:pPr>
      <w:r>
        <w:t>Beleidsadviseur publieke gezondheid (~0,4 fte): koppeling GGD Flevoland, WP3 en WP4.</w:t>
      </w:r>
    </w:p>
    <w:p>
      <w:pPr>
        <w:pStyle w:val="ListBullet"/>
      </w:pPr>
      <w:r>
        <w:t>Beleidsadviseur jeugd (~0,2 fte): Kansrijke Start, (Mentale) gezonde school, jeugdhulp.</w:t>
      </w:r>
    </w:p>
    <w:p>
      <w:pPr>
        <w:pStyle w:val="ListBullet"/>
      </w:pPr>
      <w:r>
        <w:t>Controller/financieel adviseur (~0,2 fte): WP6 (meicirculaire, SPUK, verantwoording).</w:t>
      </w:r>
    </w:p>
    <w:p>
      <w:pPr>
        <w:pStyle w:val="ListBullet"/>
      </w:pPr>
      <w:r>
        <w:t>Projectleider(s) WP3 en WP4 (~0,4 fte tijdelijk): uitvoeringsfasen 2026-2028.</w:t>
      </w:r>
    </w:p>
    <w:p>
      <w:pPr>
        <w:pStyle w:val="ListBullet"/>
      </w:pPr>
      <w:r>
        <w:t>Communicatieadviseur (~0,1 fte): WP6.</w:t>
      </w:r>
    </w:p>
    <w:p>
      <w:r>
        <w:t>Regionale capaciteit delen via GGD Flevoland en mandaatgemeente; niet stapelen. Tijdelijke capaciteit voor ontwikkelagenda-onderwerpen via landelijke kennispartners (NJi, Movisie, Trimbos, RIVM) afnemen waar zinvol.</w:t>
      </w:r>
    </w:p>
    <w:p>
      <w:pPr>
        <w:pStyle w:val="Heading2"/>
      </w:pPr>
      <w:r>
        <w:t>Concrete acties en planning</w:t>
      </w:r>
    </w:p>
    <w:p>
      <w:pPr>
        <w:pStyle w:val="ListBullet"/>
      </w:pPr>
      <w:r>
        <w:rPr>
          <w:b/>
        </w:rPr>
        <w:t>Nu – Q3 2025</w:t>
      </w:r>
      <w:r>
        <w:t>: inventariseer Almeerse stand op de vijf onderbouwde basisfunctionaliteiten; breng inloopvoorzieningen en lokale teams in kaart; identificeer potentiële Zvw-aanbiedersamenwerking voor doorbraakmiddelen.</w:t>
      </w:r>
    </w:p>
    <w:p>
      <w:pPr>
        <w:pStyle w:val="ListBullet"/>
      </w:pPr>
      <w:r>
        <w:rPr>
          <w:b/>
        </w:rPr>
        <w:t>Najaar 2025</w:t>
      </w:r>
      <w:r>
        <w:t>: bijdragen aan landelijke scan onder regie ZN/VNG en VWS over regio-beschikbaarheid basisfunctionaliteiten (p63).</w:t>
      </w:r>
    </w:p>
    <w:p>
      <w:pPr>
        <w:pStyle w:val="ListBullet"/>
      </w:pPr>
      <w:r>
        <w:rPr>
          <w:b/>
        </w:rPr>
        <w:t>Q4 2025</w:t>
      </w:r>
      <w:r>
        <w:t>: landelijk kader vastgesteld in BO IZA/AZWA (p62); collegebesluit over Almeerse uitgangspunten en trekkers WP1-WP6.</w:t>
      </w:r>
    </w:p>
    <w:p>
      <w:pPr>
        <w:pStyle w:val="ListBullet"/>
      </w:pPr>
      <w:r>
        <w:rPr>
          <w:b/>
        </w:rPr>
        <w:t>Q1 2026</w:t>
      </w:r>
      <w:r>
        <w:t>: landelijke afspraken basisinfrastructuur D6 beschikbaar; prioritering ontwikkelagenda 1; regionale afspraken over regie en coördinatie ketenaanpakken gemaakt (p66).</w:t>
      </w:r>
    </w:p>
    <w:p>
      <w:pPr>
        <w:pStyle w:val="ListBullet"/>
      </w:pPr>
      <w:r>
        <w:rPr>
          <w:b/>
        </w:rPr>
        <w:t>Q2 2026</w:t>
      </w:r>
      <w:r>
        <w:t>: meicirculaire 2026 verwerkt in Almeerse begroting 2027; raadinformatiebrief met indicatieve D5-/D6-inzet.</w:t>
      </w:r>
    </w:p>
    <w:p>
      <w:pPr>
        <w:pStyle w:val="ListBullet"/>
      </w:pPr>
      <w:r>
        <w:rPr>
          <w:b/>
        </w:rPr>
        <w:t>Eind september 2026</w:t>
      </w:r>
      <w:r>
        <w:t>: regionale aanvullende plannen opgeleverd, met duidelijke Almeerse passages (p63).</w:t>
      </w:r>
    </w:p>
    <w:p>
      <w:pPr>
        <w:pStyle w:val="ListBullet"/>
      </w:pPr>
      <w:r>
        <w:rPr>
          <w:b/>
        </w:rPr>
        <w:t>1 januari 2027</w:t>
      </w:r>
      <w:r>
        <w:t>: robuuste continuïteit ANW/crisisdiensten operationeel in Flevoland (D7, p67).</w:t>
      </w:r>
    </w:p>
    <w:p>
      <w:pPr>
        <w:pStyle w:val="ListBullet"/>
      </w:pPr>
      <w:r>
        <w:rPr>
          <w:b/>
        </w:rPr>
        <w:t>2027 en 2028</w:t>
      </w:r>
      <w:r>
        <w:t>: doorbraakmiddelen (landelijk €100 mln per jaar, p63) via Zvw-aanbieder-initiatieven waar Almere op meelift.</w:t>
      </w:r>
    </w:p>
    <w:p>
      <w:pPr>
        <w:pStyle w:val="ListBullet"/>
      </w:pPr>
      <w:r>
        <w:rPr>
          <w:b/>
        </w:rPr>
        <w:t>Q4 2028</w:t>
      </w:r>
      <w:r>
        <w:t>: stevige lokale teams in Almere overal aangesloten binnen hechte wijkverbanden (p66).</w:t>
      </w:r>
    </w:p>
    <w:p>
      <w:pPr>
        <w:pStyle w:val="ListBullet"/>
      </w:pPr>
      <w:r>
        <w:rPr>
          <w:b/>
        </w:rPr>
        <w:t>2028</w:t>
      </w:r>
      <w:r>
        <w:t>: periodieke update basisfunctionaliteiten op basis van (boven)lokale monitoring (p62).</w:t>
      </w:r>
    </w:p>
    <w:p>
      <w:pPr>
        <w:pStyle w:val="ListBullet"/>
      </w:pPr>
      <w:r>
        <w:rPr>
          <w:b/>
        </w:rPr>
        <w:t>2030</w:t>
      </w:r>
      <w:r>
        <w:t>: landelijke dekking basisfunctionaliteiten gerealiseerd (p63).</w:t>
      </w:r>
    </w:p>
    <w:p>
      <w:pPr>
        <w:pStyle w:val="Heading2"/>
      </w:pPr>
      <w:r>
        <w:t>Middelen en Financiën Meicirculaire</w:t>
      </w:r>
    </w:p>
    <w:p>
      <w:r>
        <w:rPr>
          <w:b/>
        </w:rPr>
        <w:t>Uitgangspunt financieringsvorm</w:t>
      </w:r>
      <w:r>
        <w:t xml:space="preserve"> (p63 en p66). Middelen voor het sociaal domein en gezondheid worden aan gemeenten verstrekt. Een zorgvuldig proces tussen VNG, fondsbeheerders en het vakdepartement bepaalt per onderwerp het passende instrument. De Financiële verhoudingenwet (en MvT) is het vertrekpunt. Voor een nieuwe specifieke uitkering is expliciete besluitvorming door het kabinet vereist.</w:t>
      </w:r>
    </w:p>
    <w:p>
      <w:r>
        <w:rPr>
          <w:b/>
        </w:rPr>
        <w:t>Meicirculaire als Almeerse verankering</w:t>
      </w:r>
      <w:r>
        <w:t>. De meicirculaire van BZK/gemeentefonds is het moment waarop Almere het aandeel voor het komende begrotingsjaar operationaliseert. De Almeerse verwerking loopt langs drie sporen:</w:t>
      </w:r>
    </w:p>
    <w:p>
      <w:pPr>
        <w:pStyle w:val="ListNumber"/>
      </w:pPr>
      <w:r>
        <w:t>Decentralisatie-uitkering(en) via het gemeentefonds voor D6-onderdelen: denkbaar voor coördinatie gemeenten en lokale teams/hechte wijkverbanden. Dit vraagt een expliciet kabinetsbesluit indien vormgegeven als nieuwe SPUK (p63).</w:t>
      </w:r>
    </w:p>
    <w:p>
      <w:pPr>
        <w:pStyle w:val="ListNumber"/>
      </w:pPr>
      <w:r>
        <w:t>SPUK IZA: expliciet genoemd in de D6-tabel (p64) als bestaand instrument, met doorloop naar Almere via bestaande IZA-regeling.</w:t>
      </w:r>
    </w:p>
    <w:p>
      <w:pPr>
        <w:pStyle w:val="ListNumber"/>
      </w:pPr>
      <w:r>
        <w:t>Reguliere middelen in de Almeerse begroting sociaal domein en publieke gezondheid, ter aanvulling en voor cofinanciering.</w:t>
      </w:r>
    </w:p>
    <w:p>
      <w:r>
        <w:rPr>
          <w:b/>
        </w:rPr>
        <w:t>Voorwaarden structurele financiering uit Zvw-besparing</w:t>
      </w:r>
      <w:r>
        <w:t xml:space="preserve"> (p62, p102): (1) voldoende bewijslast over verwachte besparing, (2) besparing gerealiseerd via intensivering van bestaande of nieuwe maatregel, (3) dekking gedurende de gehele looptijd van de maatregel, (4) kabinetsbesluit via de reguliere begrotingsprocessen.</w:t>
      </w:r>
    </w:p>
    <w:p>
      <w:r>
        <w:rPr>
          <w:b/>
        </w:rPr>
        <w:t>Doorbraakmiddelen</w:t>
      </w:r>
      <w:r>
        <w:t>: landelijk €100 mln voor 2027 en €100 mln voor 2028 (p63). Almere kan niet zelfstandig aanvragen; alleen meeliften op een Zvw-aanbiederplan, en alleen voor middelen die niet al via MGN of basisinfra gedekt zijn (p63 noot 33). Dit vraagt een actieve netwerkstrategie met huisartsenzorg, wijkverpleging en/of ggz.</w:t>
      </w:r>
    </w:p>
    <w:p>
      <w:r>
        <w:rPr>
          <w:b/>
        </w:rPr>
        <w:t>Monitoringafspraken</w:t>
      </w:r>
      <w:r>
        <w:t xml:space="preserve"> worden vormgegeven vanuit wederzijds vertrouwen, sluiten zoveel mogelijk aan bij bestaande gegevensbronnen en bij reguliere verantwoording aan de gemeenteraad (p63, p102).</w:t>
      </w:r>
    </w:p>
    <w:p>
      <w:r>
        <w:rPr>
          <w:b/>
        </w:rPr>
        <w:t>Voor concrete bedragen per AZWA-onderdeel</w:t>
      </w:r>
      <w:r>
        <w:t xml:space="preserve"> verwijzen we naar hoofdstuk 4 Financiën (p81) en Bijlagen 1-3 (p89-93) van het AZWA.</w:t>
      </w:r>
    </w:p>
    <w:p>
      <w:pPr>
        <w:pStyle w:val="Heading2"/>
      </w:pPr>
      <w:r>
        <w:t>Risico's en beheersmaatregelen en randvoorwaarden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Risico</w:t>
            </w:r>
          </w:p>
        </w:tc>
        <w:tc>
          <w:tcPr>
            <w:tcW w:type="dxa" w:w="4320"/>
          </w:tcPr>
          <w:p>
            <w:r>
              <w:rPr>
                <w:b/>
              </w:rPr>
            </w:r>
            <w:r>
              <w:rPr>
                <w:b/>
              </w:rPr>
              <w:t>Beheersmaatregel</w:t>
            </w:r>
          </w:p>
        </w:tc>
      </w:tr>
      <w:tr>
        <w:tc>
          <w:tcPr>
            <w:tcW w:type="dxa" w:w="4320"/>
          </w:tcPr>
          <w:p>
            <w:r/>
            <w:r>
              <w:t>R1 Meicirculaire te laat of onduidelijk over D6-aandeel voor begroting 2027</w:t>
            </w:r>
          </w:p>
        </w:tc>
        <w:tc>
          <w:tcPr>
            <w:tcW w:type="dxa" w:w="4320"/>
          </w:tcPr>
          <w:p>
            <w:r/>
            <w:r>
              <w:t>Vroegtijdige scenario-analyse met indicatieve bedragen uit AZWA-bijlagen; college- en raadruimte voor bijstelling bij P&amp;C.</w:t>
            </w:r>
          </w:p>
        </w:tc>
      </w:tr>
      <w:tr>
        <w:tc>
          <w:tcPr>
            <w:tcW w:type="dxa" w:w="4320"/>
          </w:tcPr>
          <w:p>
            <w:r/>
            <w:r>
              <w:t>R2 Doorbraakmiddelen 2027/2028 lopen aan Almere voorbij omdat geen Zvw-aanbieder meedoet</w:t>
            </w:r>
          </w:p>
        </w:tc>
        <w:tc>
          <w:tcPr>
            <w:tcW w:type="dxa" w:w="4320"/>
          </w:tcPr>
          <w:p>
            <w:r/>
            <w:r>
              <w:t>Actief partners werven (huisartsen/RHO, wijkverpleging, ggz) om gezamenlijk een Zvw-aanbiederplan in te dienen.</w:t>
            </w:r>
          </w:p>
        </w:tc>
      </w:tr>
      <w:tr>
        <w:tc>
          <w:tcPr>
            <w:tcW w:type="dxa" w:w="4320"/>
          </w:tcPr>
          <w:p>
            <w:r/>
            <w:r>
              <w:t>R3 Lokale teams halen Q4 2028-deadline niet voor alle wijken</w:t>
            </w:r>
          </w:p>
        </w:tc>
        <w:tc>
          <w:tcPr>
            <w:tcW w:type="dxa" w:w="4320"/>
          </w:tcPr>
          <w:p>
            <w:r/>
            <w:r>
              <w:t>Fasering in planning 2026-2028, start in wijken met hoogste zorgvraag; voortgangsrapportage per half jaar.</w:t>
            </w:r>
          </w:p>
        </w:tc>
      </w:tr>
      <w:tr>
        <w:tc>
          <w:tcPr>
            <w:tcW w:type="dxa" w:w="4320"/>
          </w:tcPr>
          <w:p>
            <w:r/>
            <w:r>
              <w:t>R4 Dubbele structuur met regionaal plan Flevoland</w:t>
            </w:r>
          </w:p>
        </w:tc>
        <w:tc>
          <w:tcPr>
            <w:tcW w:type="dxa" w:w="4320"/>
          </w:tcPr>
          <w:p>
            <w:r/>
            <w:r>
              <w:t>Eén loket Almeerse inbreng via mandaatgemeente; aansluiting op bestaand IZA-regioplan in plaats van extra structuur.</w:t>
            </w:r>
          </w:p>
        </w:tc>
      </w:tr>
      <w:tr>
        <w:tc>
          <w:tcPr>
            <w:tcW w:type="dxa" w:w="4320"/>
          </w:tcPr>
          <w:p>
            <w:r/>
            <w:r>
              <w:t>R5 Afhankelijkheid kennispartners voor gereedschapskist (Zorginstituut, GGD GHOR NL, SWN, Trimbos, RIVM, Movisie, NJi)</w:t>
            </w:r>
          </w:p>
        </w:tc>
        <w:tc>
          <w:tcPr>
            <w:tcW w:type="dxa" w:w="4320"/>
          </w:tcPr>
          <w:p>
            <w:r/>
            <w:r>
              <w:t>Periodiek meelezen via GGD Flevoland; actieve inbreng Almeerse praktijk; fallback naar reeds onderbouwde basisfunctionaliteiten bij vertraging.</w:t>
            </w:r>
          </w:p>
        </w:tc>
      </w:tr>
      <w:tr>
        <w:tc>
          <w:tcPr>
            <w:tcW w:type="dxa" w:w="4320"/>
          </w:tcPr>
          <w:p>
            <w:r/>
            <w:r>
              <w:t>R6 D7-ggz-doelstelling (1-1-2027, 70% psychiater-participatie) niet gehaald</w:t>
            </w:r>
          </w:p>
        </w:tc>
        <w:tc>
          <w:tcPr>
            <w:tcW w:type="dxa" w:w="4320"/>
          </w:tcPr>
          <w:p>
            <w:r/>
            <w:r>
              <w:t>Primair bij zorgverzekeraar en ggz-sector; Almere monitort en agendeert bij BO IZA/AZWA en bij regionale tafels.</w:t>
            </w:r>
          </w:p>
        </w:tc>
      </w:tr>
      <w:tr>
        <w:tc>
          <w:tcPr>
            <w:tcW w:type="dxa" w:w="4320"/>
          </w:tcPr>
          <w:p>
            <w:r/>
            <w:r>
              <w:t>R7 Administratieve lasten stapelen</w:t>
            </w:r>
          </w:p>
        </w:tc>
        <w:tc>
          <w:tcPr>
            <w:tcW w:type="dxa" w:w="4320"/>
          </w:tcPr>
          <w:p>
            <w:r/>
            <w:r>
              <w:t>Aansluiten bij bestaande verantwoording (p63, p102); monitoringafspraken vanuit wederzijds vertrouwen.</w:t>
            </w:r>
          </w:p>
        </w:tc>
      </w:tr>
      <w:tr>
        <w:tc>
          <w:tcPr>
            <w:tcW w:type="dxa" w:w="4320"/>
          </w:tcPr>
          <w:p>
            <w:r/>
            <w:r>
              <w:t>R8 Onduidelijkheid rond wetgevingstraject gezondheidstaken gemeenten</w:t>
            </w:r>
          </w:p>
        </w:tc>
        <w:tc>
          <w:tcPr>
            <w:tcW w:type="dxa" w:w="4320"/>
          </w:tcPr>
          <w:p>
            <w:r/>
            <w:r>
              <w:t>Volgen VWS-inventarisatie (p66); voorlopig handelen binnen bestaande wettelijke kaders.</w:t>
            </w:r>
          </w:p>
        </w:tc>
      </w:tr>
    </w:tbl>
    <w:p/>
    <w:p>
      <w:r>
        <w:rPr>
          <w:b/>
        </w:rPr>
        <w:t>Randvoorwaarden</w:t>
      </w:r>
    </w:p>
    <w:p>
      <w:pPr>
        <w:pStyle w:val="ListBullet"/>
      </w:pPr>
      <w:r>
        <w:t>Tijdige beschikbaarheid landelijk kader (Q4 2025) en basisinfrastructuur-afspraken (Q1 2026).</w:t>
      </w:r>
    </w:p>
    <w:p>
      <w:pPr>
        <w:pStyle w:val="ListBullet"/>
      </w:pPr>
      <w:r>
        <w:t>Beschikbaarheid en toegankelijkheid landelijke gereedschapskist voor Almere.</w:t>
      </w:r>
    </w:p>
    <w:p>
      <w:pPr>
        <w:pStyle w:val="ListBullet"/>
      </w:pPr>
      <w:r>
        <w:t>Helderheid over financieringsvorm (SPUK, decentralisatie-uitkering of anders) en meicirculaire-verwerking.</w:t>
      </w:r>
    </w:p>
    <w:p>
      <w:pPr>
        <w:pStyle w:val="ListBullet"/>
      </w:pPr>
      <w:r>
        <w:t>Bestuurlijk commitment van regio-partners (mandaatgemeente, GGD Flevoland, zorgverzekeraars).</w:t>
      </w:r>
    </w:p>
    <w:p>
      <w:pPr>
        <w:pStyle w:val="ListBullet"/>
      </w:pPr>
      <w:r>
        <w:t>Bestaande aanbieders in Almere hebben voldoende uitvoeringscapaciteit.</w:t>
      </w:r>
    </w:p>
    <w:p>
      <w:pPr>
        <w:pStyle w:val="Heading2"/>
      </w:pPr>
      <w:r>
        <w:t>Monitoring en evaluatie</w:t>
      </w:r>
    </w:p>
    <w:p>
      <w:r>
        <w:rPr>
          <w:b/>
        </w:rPr>
        <w:t>Drie niveaus</w:t>
      </w:r>
      <w:r>
        <w:t xml:space="preserve"> conform Bijlage D5 (p104):</w:t>
      </w:r>
    </w:p>
    <w:p>
      <w:pPr>
        <w:pStyle w:val="ListNumber"/>
      </w:pPr>
      <w:r>
        <w:t>Worden de afspraken uitgevoerd zoals beoogd?</w:t>
      </w:r>
    </w:p>
    <w:p>
      <w:pPr>
        <w:pStyle w:val="ListNumber"/>
      </w:pPr>
      <w:r>
        <w:t>(Kosten)effectiviteit van interventies en evaluatie van de basisfunctionaliteiten.</w:t>
      </w:r>
    </w:p>
    <w:p>
      <w:pPr>
        <w:pStyle w:val="ListNumber"/>
      </w:pPr>
      <w:r>
        <w:t>Werking van het mechanisme zelf (het samenspel tussen landelijk kader, regionale uitvoering en lokale implementatie).</w:t>
      </w:r>
    </w:p>
    <w:p>
      <w:r>
        <w:rPr>
          <w:b/>
        </w:rPr>
        <w:t>Almeerse inrichting</w:t>
      </w:r>
    </w:p>
    <w:p>
      <w:pPr>
        <w:pStyle w:val="ListBullet"/>
      </w:pPr>
      <w:r>
        <w:t>Aansluiten bij bestaande gegevensbronnen (Sociale Staat van Almere, CBS, GGD-monitors, Nivel-data, NZa-data) en reguliere verantwoording aan de gemeenteraad (p63, p102).</w:t>
      </w:r>
    </w:p>
    <w:p>
      <w:pPr>
        <w:pStyle w:val="ListBullet"/>
      </w:pPr>
      <w:r>
        <w:t>Jaarlijkse Almeerse voortgangsrapportage AZWA-D5/D6/D7 aan college en raad.</w:t>
      </w:r>
    </w:p>
    <w:p>
      <w:pPr>
        <w:pStyle w:val="ListBullet"/>
      </w:pPr>
      <w:r>
        <w:t>Tussentijdse herijking basisfunctionaliteiten in 2028 op basis van (boven)lokale monitoring (p62).</w:t>
      </w:r>
    </w:p>
    <w:p>
      <w:pPr>
        <w:pStyle w:val="ListBullet"/>
      </w:pPr>
      <w:r>
        <w:t>Meelezen van de werkagenda rijksoverheidspartijen (p105) voor governance-bijsturing.</w:t>
      </w:r>
    </w:p>
    <w:p>
      <w:pPr>
        <w:pStyle w:val="ListBullet"/>
      </w:pPr>
      <w:r>
        <w:t>Wederkerigheidstoets: wat leveren zorg en sociaal domein wederzijds (p101)?</w:t>
      </w:r>
    </w:p>
    <w:p>
      <w:pPr>
        <w:pStyle w:val="Heading2"/>
      </w:pPr>
      <w:r>
        <w:t>Communicatie en participatie</w:t>
      </w:r>
    </w:p>
    <w:p>
      <w:r>
        <w:rPr>
          <w:b/>
        </w:rPr>
        <w:t>Publicatie en transparantie</w:t>
      </w:r>
    </w:p>
    <w:p>
      <w:pPr>
        <w:pStyle w:val="ListBullet"/>
      </w:pPr>
      <w:r>
        <w:t>Lokale AZWA-positie op raadvanalmere.nl en de informatiepagina sociaal domein uiterlijk Q1 2026.</w:t>
      </w:r>
    </w:p>
    <w:p>
      <w:pPr>
        <w:pStyle w:val="ListBullet"/>
      </w:pPr>
      <w:r>
        <w:t>Jaarlijks inwonergericht bericht over voortgang D5/D6.</w:t>
      </w:r>
    </w:p>
    <w:p>
      <w:r>
        <w:rPr>
          <w:b/>
        </w:rPr>
        <w:t>Participatie</w:t>
      </w:r>
    </w:p>
    <w:p>
      <w:pPr>
        <w:pStyle w:val="ListBullet"/>
      </w:pPr>
      <w:r>
        <w:t>Bestaande wijk- en regionale overleggen met sociaal werk, huisartsen, wijkverpleging, ggz, jeugdhulp, welzijnsorganisaties, onderwijs, sport en vrijwilligersnetwerken; niet apart inrichten.</w:t>
      </w:r>
    </w:p>
    <w:p>
      <w:pPr>
        <w:pStyle w:val="ListBullet"/>
      </w:pPr>
      <w:r>
        <w:t>Expliciete ondersteuning van burgerinitiatieven, ook in de zorg-sociaal-verbinding (p64).</w:t>
      </w:r>
    </w:p>
    <w:p>
      <w:pPr>
        <w:pStyle w:val="ListBullet"/>
      </w:pPr>
      <w:r>
        <w:t>Gebruik van bestaande coalities (o.a. Lokale coalities Kansrijke Start, Gezonde School-netwerk, buursportcoaches) als gesprekspartners.</w:t>
      </w:r>
    </w:p>
    <w:p>
      <w:r>
        <w:rPr>
          <w:b/>
        </w:rPr>
        <w:t>Inwonerondersteuning</w:t>
      </w:r>
      <w:r>
        <w:t>: via lokale teams als herkenbaar aanspreekpunt voor volwassenen en jeugd (p66).</w:t>
      </w:r>
    </w:p>
    <w:p>
      <w:pPr>
        <w:pStyle w:val="Heading2"/>
      </w:pPr>
      <w:r>
        <w:t>Besluitvorming en vervolgstappen</w:t>
      </w:r>
    </w:p>
    <w:p>
      <w:pPr>
        <w:pStyle w:val="ListBullet"/>
      </w:pPr>
      <w:r>
        <w:rPr>
          <w:b/>
        </w:rPr>
        <w:t>Q4 2025</w:t>
      </w:r>
      <w:r>
        <w:t>: Collegebesluit over Almeerse uitgangspunten en trekkers WP1-WP6 zodra landelijk kader is vastgesteld.</w:t>
      </w:r>
    </w:p>
    <w:p>
      <w:pPr>
        <w:pStyle w:val="ListBullet"/>
      </w:pPr>
      <w:r>
        <w:rPr>
          <w:b/>
        </w:rPr>
        <w:t>Q1 2026</w:t>
      </w:r>
      <w:r>
        <w:t>: Raadinformatiebrief met doorvertaling Q1 2026 afspraken basisinfrastructuur D6 en ontwikkelagenda 1.</w:t>
      </w:r>
    </w:p>
    <w:p>
      <w:pPr>
        <w:pStyle w:val="ListBullet"/>
      </w:pPr>
      <w:r>
        <w:rPr>
          <w:b/>
        </w:rPr>
        <w:t>Q2 2026</w:t>
      </w:r>
      <w:r>
        <w:t>: Raadinformatiebrief bij meicirculaire 2026 over D5-/D6-aandeel voor begroting 2027.</w:t>
      </w:r>
    </w:p>
    <w:p>
      <w:pPr>
        <w:pStyle w:val="ListBullet"/>
      </w:pPr>
      <w:r>
        <w:rPr>
          <w:b/>
        </w:rPr>
        <w:t>September 2026</w:t>
      </w:r>
      <w:r>
        <w:t>: Collegebesluit bij oplevering regionaal aanvullend plan.</w:t>
      </w:r>
    </w:p>
    <w:p>
      <w:pPr>
        <w:pStyle w:val="ListBullet"/>
      </w:pPr>
      <w:r>
        <w:rPr>
          <w:b/>
        </w:rPr>
        <w:t>Begin 2027</w:t>
      </w:r>
      <w:r>
        <w:t>: Raadsevaluatie na landelijke tussentijdse evaluatie; eerste D7-voortgang.</w:t>
      </w:r>
    </w:p>
    <w:p>
      <w:pPr>
        <w:pStyle w:val="ListBullet"/>
      </w:pPr>
      <w:r>
        <w:rPr>
          <w:b/>
        </w:rPr>
        <w:t>2028</w:t>
      </w:r>
      <w:r>
        <w:t>: Collegebesluit bij periodieke herijking basisfunctionaliteiten.</w:t>
      </w:r>
    </w:p>
    <w:p>
      <w:pPr>
        <w:pStyle w:val="ListBullet"/>
      </w:pPr>
      <w:r>
        <w:rPr>
          <w:b/>
        </w:rPr>
        <w:t>Doorlopend</w:t>
      </w:r>
      <w:r>
        <w:t>: indien nieuwe SPUK: expliciet kabinetsbesluit afwachten en pas dan lokale inzet vastleggen (p63).</w:t>
      </w:r>
    </w:p>
    <w:p>
      <w:pPr>
        <w:pStyle w:val="Heading2"/>
      </w:pPr>
      <w:r>
        <w:t>Verantwoording</w:t>
      </w:r>
    </w:p>
    <w:p>
      <w:pPr>
        <w:pStyle w:val="ListBullet"/>
      </w:pPr>
      <w:r>
        <w:rPr>
          <w:b/>
        </w:rPr>
        <w:t>Gemeenteraad Almere</w:t>
      </w:r>
      <w:r>
        <w:t xml:space="preserve"> via de reguliere P&amp;C-cyclus, jaarlijkse AZWA-voortgangsrapportage en raadinformatiebrieven bij mijlpalen.</w:t>
      </w:r>
    </w:p>
    <w:p>
      <w:pPr>
        <w:pStyle w:val="ListBullet"/>
      </w:pPr>
      <w:r>
        <w:rPr>
          <w:b/>
        </w:rPr>
        <w:t>Regionaal</w:t>
      </w:r>
      <w:r>
        <w:t xml:space="preserve"> via de mandaatgemeente, het aangevuld regioplan en de monitoringafspraken daarop.</w:t>
      </w:r>
    </w:p>
    <w:p>
      <w:pPr>
        <w:pStyle w:val="ListBullet"/>
      </w:pPr>
      <w:r>
        <w:rPr>
          <w:b/>
        </w:rPr>
        <w:t>Landelijk</w:t>
      </w:r>
      <w:r>
        <w:t xml:space="preserve"> via de monitoringstructuur onder BO IZA/AZWA, zoveel mogelijk aansluitend bij bestaande gegevensbronnen en zonder extra administratieve lasten (p63, p102).</w:t>
      </w:r>
    </w:p>
    <w:p>
      <w:pPr>
        <w:pStyle w:val="ListBullet"/>
      </w:pPr>
      <w:r>
        <w:rPr>
          <w:b/>
        </w:rPr>
        <w:t>Wederkerige aanspreekbaarheid</w:t>
      </w:r>
      <w:r>
        <w:t xml:space="preserve"> (p101): gemeente, zorgverzekeraars en aanbieders leggen elkaar verantwoording af over uitvoering van de afspraken.</w:t>
      </w:r>
    </w:p>
    <w:p>
      <w:pPr>
        <w:pStyle w:val="ListBullet"/>
      </w:pPr>
      <w:r>
        <w:rPr>
          <w:b/>
        </w:rPr>
        <w:t>Bestuurlijk instrumentarium</w:t>
      </w:r>
      <w:r>
        <w:t xml:space="preserve"> voor als afspraken onvoldoende worden uitgevoerd: partijen aanspreken op de manier waarop zij afspraken uitvoeren, of afspraken herijken (p101, p103).</w:t>
      </w:r>
    </w:p>
    <w:p>
      <w:pPr>
        <w:pStyle w:val="Heading2"/>
      </w:pPr>
      <w:r>
        <w:t>Bijlagen</w:t>
      </w:r>
    </w:p>
    <w:p>
      <w:r>
        <w:rPr>
          <w:b/>
        </w:rPr>
        <w:t>A. Bronverwijzing AZWA</w:t>
      </w:r>
    </w:p>
    <w:p>
      <w:pPr>
        <w:pStyle w:val="ListBullet"/>
      </w:pPr>
      <w:r>
        <w:t>p60: D5 inleiding, samenvatting en basisfunctionaliteiten onderbouwd; Tabel 1 overzicht p61.</w:t>
      </w:r>
    </w:p>
    <w:p>
      <w:pPr>
        <w:pStyle w:val="ListBullet"/>
      </w:pPr>
      <w:r>
        <w:t>p62-63: D5 mechanisme, doorbraakmiddelen €100 mln 2027 en 2028, financieringsvorm, wederkerigheid, noot 33 over gemeenten als aanvrager.</w:t>
      </w:r>
    </w:p>
    <w:p>
      <w:pPr>
        <w:pStyle w:val="ListBullet"/>
      </w:pPr>
      <w:r>
        <w:t>p64-65: D6 inleiding, samenvatting, tabellen basisinfrastructuur, samenwerking sociaal domein en (eerstelijns)zorgdomein.</w:t>
      </w:r>
    </w:p>
    <w:p>
      <w:pPr>
        <w:pStyle w:val="ListBullet"/>
      </w:pPr>
      <w:r>
        <w:t>p66-67: D7 ANW- en crisisdiensten, 1-1-2027-doelstelling, 70% psychiater-participatie.</w:t>
      </w:r>
    </w:p>
    <w:p>
      <w:pPr>
        <w:pStyle w:val="ListBullet"/>
      </w:pPr>
      <w:r>
        <w:t>p100-104: Bijlage D5, met mechanisme op hoofdlijnen, wederkerigheid, aanspreekbaarheid, definitie basisfunctionaliteit, gereedschapskist, ontwikkelagenda, monitoring en governance.</w:t>
      </w:r>
    </w:p>
    <w:p>
      <w:r>
        <w:rPr>
          <w:b/>
        </w:rPr>
        <w:t>B. Basisfunctionaliteiten en D6-basisinfrastructuur: overzicht</w:t>
      </w:r>
    </w:p>
    <w:p>
      <w:pPr>
        <w:pStyle w:val="ListBullet"/>
      </w:pPr>
      <w:r>
        <w:t>Onderbouwd (D5 kolom 1, Tabel 1 p61): EPA-steunpunten en Sociaal Verwijzen (mentale gezondheid); Valpreventie (vitaal ouder worden); Ketenaanpak overgewicht en obesitas volwassenen (GLI, gezonde leefstijl); Kansrijke start, integrale gezinspoli en Nu Niet Zwanger (kansrijk opgroeien).</w:t>
      </w:r>
    </w:p>
    <w:p>
      <w:pPr>
        <w:pStyle w:val="ListBullet"/>
      </w:pPr>
      <w:r>
        <w:t>Ontwikkelagenda 1 (Q1 2026): Mentale Gezondheidsnetwerken/Verkennend Gesprek, Ketenaanpak dementie incl. preventie, Ketenaanpak overgewicht kinderen, Rookvrije start, Multiproblematiek aanpak (NPLV).</w:t>
      </w:r>
    </w:p>
    <w:p>
      <w:pPr>
        <w:pStyle w:val="ListBullet"/>
      </w:pPr>
      <w:r>
        <w:t>Ontwikkelagenda 2 (langere termijn): eenzaamheid, wachttijd ondersteuning, lotgenotengroepen, toeleiden naar werk, verslavingspreventie, nicotinevrij, samenwerking ziekenhuis × gemeenten, seksuele gezondheid, middelengebruik, mentale gezondheid jeugd, stevig ouderschap, gokken/gamen, multiproblematiek aanpak, verhogen vaccinatiegraad, aanpak armoede en schulden.</w:t>
      </w:r>
    </w:p>
    <w:p>
      <w:pPr>
        <w:pStyle w:val="ListBullet"/>
      </w:pPr>
      <w:r>
        <w:t>D6-basisinfrastructuur (tabellen p64): Inloopvoorzieningen sociaal en gezond (buurt en ziekenhuis, incl. gezondheidsloketten); (Mentale) gezonde school met gezonde-school-adviseur via GGD en school-brede interventies; Lokale teams (versterking verbinding eerste lijn, jgz en andere werken); Regionale coördinatie (regioplan/regiobeeld, regionale kennis- en adviesfunctie GGD, coördinatie planvorming en ketenaanpakken); Lokale coalities Kansrijke Start; Buursportcoaches; Suïcidepreventie; Middelen SPUK IZA.</w:t>
      </w:r>
    </w:p>
    <w:p>
      <w:r>
        <w:rPr>
          <w:b/>
        </w:rPr>
        <w:t>C. Landelijke mijlpalen</w:t>
      </w:r>
    </w:p>
    <w:p>
      <w:pPr>
        <w:pStyle w:val="ListBullet"/>
      </w:pPr>
      <w:r>
        <w:t>Najaar 2025: landelijke scan regio-beschikbaarheid basisfunctionaliteiten.</w:t>
      </w:r>
    </w:p>
    <w:p>
      <w:pPr>
        <w:pStyle w:val="ListBullet"/>
      </w:pPr>
      <w:r>
        <w:t>Q4 2025: landelijk kader vastgesteld in BO IZA/AZWA.</w:t>
      </w:r>
    </w:p>
    <w:p>
      <w:pPr>
        <w:pStyle w:val="ListBullet"/>
      </w:pPr>
      <w:r>
        <w:t>Q1 2026: afspraken basisinfrastructuur D6; prioritering ontwikkelagenda 1; regionale regie ketenaanpakken.</w:t>
      </w:r>
    </w:p>
    <w:p>
      <w:pPr>
        <w:pStyle w:val="ListBullet"/>
      </w:pPr>
      <w:r>
        <w:t>Eind september 2026: regionale aanvullende plannen opgeleverd.</w:t>
      </w:r>
    </w:p>
    <w:p>
      <w:pPr>
        <w:pStyle w:val="ListBullet"/>
      </w:pPr>
      <w:r>
        <w:t>1 januari 2027: robuuste continuïteit ANW/crisisdiensten ggz.</w:t>
      </w:r>
    </w:p>
    <w:p>
      <w:pPr>
        <w:pStyle w:val="ListBullet"/>
      </w:pPr>
      <w:r>
        <w:t>2027 en 2028: doorbraakmiddelen landelijk €100 mln per jaar via Zvw-aanbieder.</w:t>
      </w:r>
    </w:p>
    <w:p>
      <w:pPr>
        <w:pStyle w:val="ListBullet"/>
      </w:pPr>
      <w:r>
        <w:t>Q4 2028: lokale teams aangesloten binnen hechte wijkverbanden.</w:t>
      </w:r>
    </w:p>
    <w:p>
      <w:pPr>
        <w:pStyle w:val="ListBullet"/>
      </w:pPr>
      <w:r>
        <w:t>2028: periodieke update basisfunctionaliteiten.</w:t>
      </w:r>
    </w:p>
    <w:p>
      <w:pPr>
        <w:pStyle w:val="ListBullet"/>
      </w:pPr>
      <w:r>
        <w:t>2030: landelijke dekking basisfunctionaliteiten.</w:t>
      </w:r>
    </w:p>
    <w:p>
      <w:r>
        <w:rPr>
          <w:b/>
        </w:rPr>
        <w:t>D. Leeswijzer Bijlage D5 (p100-104)</w:t>
      </w:r>
    </w:p>
    <w:p>
      <w:pPr>
        <w:pStyle w:val="ListBullet"/>
      </w:pPr>
      <w:r>
        <w:t>Mechanisme op hoofdlijnen (p101): landelijk "wat", lokaal "hoe"; wederkerigheid; aanspreekbaarheid.</w:t>
      </w:r>
    </w:p>
    <w:p>
      <w:pPr>
        <w:pStyle w:val="ListBullet"/>
      </w:pPr>
      <w:r>
        <w:t>Definitie basisfunctionaliteit (p102): leefgebieden, wederkerige samenwerking, ontlasten zorg, helder omschreven rollen.</w:t>
      </w:r>
    </w:p>
    <w:p>
      <w:pPr>
        <w:pStyle w:val="ListBullet"/>
      </w:pPr>
      <w:r>
        <w:t>Gereedschapskist (p102-103): criteria, ontwikkeling, beheer (ZN, VNG, VWS met kennispartners).</w:t>
      </w:r>
    </w:p>
    <w:p>
      <w:pPr>
        <w:pStyle w:val="ListBullet"/>
      </w:pPr>
      <w:r>
        <w:t>Ontwikkelagenda (p103-104): samenstelling, uitwerking, toetsing aan criteria.</w:t>
      </w:r>
    </w:p>
    <w:p>
      <w:pPr>
        <w:pStyle w:val="ListBullet"/>
      </w:pPr>
      <w:r>
        <w:t>Monitoring en governance (p104): drie niveaus; trekkers VNG, ZN en VWS binnen BO IZA/AZWA.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