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van aanpak AZWA Almere</w:t>
      </w:r>
    </w:p>
    <w:p>
      <w:r>
        <w:rPr>
          <w:b/>
        </w:rPr>
        <w:t>Conceptversie voor ambtelijke en bestuurlijke beoordeling</w:t>
      </w:r>
      <w:r>
        <w:t xml:space="preserve"> Peildatum: 23 april 2026. Bronbasis: beschikbare landelijke, regionale en lokale openbare stukken tot en met 23 april 2026.</w:t>
      </w:r>
    </w:p>
    <w:p>
      <w:pPr>
        <w:pStyle w:val="Heading2"/>
      </w:pPr>
      <w:r>
        <w:t>1. Aanleiding</w:t>
      </w:r>
    </w:p>
    <w:p>
      <w:r>
        <w:t>Met het Aanvullend Zorg- en Welzijnsakkoord (AZWA) zijn aanvullende afspraken gemaakt op het Integraal Zorgakkoord (IZA) en het Gezond en Actief Leven Akkoord (GALA). Voor gemeenten zijn vooral de uitwerking van D5 en D6 relevant: de basisfunctionaliteiten in het sociaal domein en de sociale en gezonde basisinfrastructuur.</w:t>
      </w:r>
    </w:p>
    <w:p>
      <w:r>
        <w:t>De landelijke lijn is in 2025 en 2026 verder geconcretiseerd. Daarbij zijn vooral de VNG- en VWS-stukken van 22 april 2026 van belang. Daarin is aangegeven dat de regionale werkagenda uiterlijk op 15 november 2026 door de colleges moet zijn vastgesteld en in de praktijk medio september gereed moet zijn. Voor Almere betekent dit dat de opgave ook bestuurlijk en financieel tijdig moet worden georganiseerd.</w:t>
      </w:r>
    </w:p>
    <w:p>
      <w:pPr>
        <w:pStyle w:val="Heading2"/>
      </w:pPr>
      <w:r>
        <w:t>2. Doel van dit plan</w:t>
      </w:r>
    </w:p>
    <w:p>
      <w:r>
        <w:t>Dit concept ordent de opgave voor Almere op basis van de beschikbare openbare bronnen. Het plan legt nog geen lokale keuzes vast. Het benoemt welke onderwerpen bestuurlijk en ambtelijk moeten worden uitgewerkt voordat sprake kan zijn van een lokaal uitvoeringskader.</w:t>
      </w:r>
    </w:p>
    <w:p>
      <w:r>
        <w:t>Het doel is om:</w:t>
      </w:r>
    </w:p>
    <w:p>
      <w:pPr>
        <w:pStyle w:val="ListBullet"/>
      </w:pPr>
      <w:r>
        <w:t>de lokale opgave rond D5 en D6 overzichtelijk te maken;</w:t>
      </w:r>
    </w:p>
    <w:p>
      <w:pPr>
        <w:pStyle w:val="ListBullet"/>
      </w:pPr>
      <w:r>
        <w:t>te onderscheiden wat uit landelijke en regionale bronnen volgt en wat lokaal nog bepaald moet worden;</w:t>
      </w:r>
    </w:p>
    <w:p>
      <w:pPr>
        <w:pStyle w:val="ListBullet"/>
      </w:pPr>
      <w:r>
        <w:t>bestuurlijke keuzevragen zichtbaar te maken;</w:t>
      </w:r>
    </w:p>
    <w:p>
      <w:pPr>
        <w:pStyle w:val="ListBullet"/>
      </w:pPr>
      <w:r>
        <w:t>de relatie met regionale samenwerking, financiering en planning te benoemen;</w:t>
      </w:r>
    </w:p>
    <w:p>
      <w:pPr>
        <w:pStyle w:val="ListBullet"/>
      </w:pPr>
      <w:r>
        <w:t>een basis te bieden voor verdere ambtelijke en bestuurlijke uitwerking.</w:t>
      </w:r>
    </w:p>
    <w:p>
      <w:pPr>
        <w:pStyle w:val="Heading2"/>
      </w:pPr>
      <w:r>
        <w:t>3. Bronbasis en lokale uitgangssituatie</w:t>
      </w:r>
    </w:p>
    <w:p>
      <w:r>
        <w:t>De beschikbare landelijke stukken geven een basis voor D5 en D6. De documenten van 22 april 2026 maken daarnaast duidelijker dat inhoud, regionale werkagenda en financiering in 2026 in elkaars verlengde liggen.</w:t>
      </w:r>
    </w:p>
    <w:p>
      <w:r>
        <w:t>De beschikbare Almeerse stukken bieden aanknopingspunten voor gezondheid, preventie, sociaal domein en Positief Gezond Almere, onder meer in de Visie Gezondheidsbeleid Almere 2024-2026, de Maatschappelijke agenda 2024-2034, het Transformatieplan Positief Gezond Almere, de SEO-businesscase en informatie over het sociaal domein en de gemeentelijke financien.</w:t>
      </w:r>
    </w:p>
    <w:p>
      <w:r>
        <w:t>In die openbare stukken is nog niet volledig uitgewerkt hoe Almere D5 en D6 als lokaal AZWA-kader wil vertalen. Daardoor ligt de opgave vooral in het expliciteren van lokale keuzes, aansluiting op bestaande samenwerking, middelen, governance en monitoring.</w:t>
      </w:r>
    </w:p>
    <w:p>
      <w:pPr>
        <w:pStyle w:val="Heading2"/>
      </w:pPr>
      <w:r>
        <w:t>4. Lokale opgave</w:t>
      </w:r>
    </w:p>
    <w:p>
      <w:r>
        <w:t>Op basis van de beschikbare stukken komen vier samenhangende uitwerkingsvragen naar voren.</w:t>
      </w:r>
    </w:p>
    <w:p>
      <w:pPr>
        <w:pStyle w:val="ListNumber"/>
      </w:pPr>
      <w:r>
        <w:t>Hoe maakt Almere binnen D5 expliciet welke bestaande lokale lijnen het wil bestendigen, opschalen of aanvullen, onder meer vanuit Positief Gezond Almere?</w:t>
      </w:r>
    </w:p>
    <w:p>
      <w:pPr>
        <w:pStyle w:val="ListNumber"/>
      </w:pPr>
      <w:r>
        <w:t>Hoe beschrijft Almere de lokale D6-structuur, waaronder lokale teams, wijkverbanden en de sociale en gezonde basisinfrastructuur?</w:t>
      </w:r>
    </w:p>
    <w:p>
      <w:pPr>
        <w:pStyle w:val="ListNumber"/>
      </w:pPr>
      <w:r>
        <w:t>Hoe organiseert Almere de aansluiting op de regionale werkagenda en de lokale uitvoering?</w:t>
      </w:r>
    </w:p>
    <w:p>
      <w:pPr>
        <w:pStyle w:val="ListNumber"/>
      </w:pPr>
      <w:r>
        <w:t>Hoe worden inhoud, middelen, monitoring en bestuurlijke besluitvorming in 2026 met elkaar verbonden?</w:t>
      </w:r>
    </w:p>
    <w:p>
      <w:r>
        <w:t>Deze vragen zijn nog geen besluiten. Ze markeren de onderdelen die bestuurlijk en ambtelijk moeten worden ingevuld.</w:t>
      </w:r>
    </w:p>
    <w:p>
      <w:pPr>
        <w:pStyle w:val="Heading2"/>
      </w:pPr>
      <w:r>
        <w:t>5. Afbakening</w:t>
      </w:r>
    </w:p>
    <w:p>
      <w:r>
        <w:t>Dit concept richt zich op D5 en D6. Die afbakening sluit aan bij de beschikbare landelijke uitwerking en de recente informatie over de regionale werkagenda.</w:t>
      </w:r>
    </w:p>
    <w:p>
      <w:r>
        <w:t>Binnen scope vallen:</w:t>
      </w:r>
    </w:p>
    <w:p>
      <w:pPr>
        <w:pStyle w:val="ListBullet"/>
      </w:pPr>
      <w:r>
        <w:t>lokale vertaling van D5;</w:t>
      </w:r>
    </w:p>
    <w:p>
      <w:pPr>
        <w:pStyle w:val="ListBullet"/>
      </w:pPr>
      <w:r>
        <w:t>lokale en regionale uitwerking van D6;</w:t>
      </w:r>
    </w:p>
    <w:p>
      <w:pPr>
        <w:pStyle w:val="ListBullet"/>
      </w:pPr>
      <w:r>
        <w:t>bestuurlijke rolverdeling en samenwerking;</w:t>
      </w:r>
    </w:p>
    <w:p>
      <w:pPr>
        <w:pStyle w:val="ListBullet"/>
      </w:pPr>
      <w:r>
        <w:t>aansluiting op de regionale werkagenda;</w:t>
      </w:r>
    </w:p>
    <w:p>
      <w:pPr>
        <w:pStyle w:val="ListBullet"/>
      </w:pPr>
      <w:r>
        <w:t>financieringsroute en middelen;</w:t>
      </w:r>
    </w:p>
    <w:p>
      <w:pPr>
        <w:pStyle w:val="ListBullet"/>
      </w:pPr>
      <w:r>
        <w:t>monitoring, planning en verantwoording.</w:t>
      </w:r>
    </w:p>
    <w:p>
      <w:pPr>
        <w:pStyle w:val="Heading2"/>
      </w:pPr>
      <w:r>
        <w:t>6. Te maken bestuurlijke keuzes</w:t>
      </w:r>
    </w:p>
    <w:p>
      <w:r>
        <w:t>De beschikbare bronnen wijzen op onderwerpen waar lokale besluitvorming of nadere bestuurlijke richting nodig kan zijn. De precieze besluitvormingsroute moet door Almere zelf worden bepaald.</w:t>
      </w:r>
    </w:p>
    <w:p>
      <w:r>
        <w:t>Te beoordelen keuzevragen zijn:</w:t>
      </w:r>
    </w:p>
    <w:p>
      <w:pPr>
        <w:pStyle w:val="ListBullet"/>
      </w:pPr>
      <w:r>
        <w:t>welke bestaande D5-relevante lijnen Almere via AZWA expliciet wil bestendigen, opschalen of aanvullen, zoals Welzijn op Recept, Samen Sterker in de Wijk en Voorzorgcirkels;</w:t>
      </w:r>
    </w:p>
    <w:p>
      <w:pPr>
        <w:pStyle w:val="ListBullet"/>
      </w:pPr>
      <w:r>
        <w:t>hoe Almere D6 bestuurlijk en organisatorisch wil positioneren;</w:t>
      </w:r>
    </w:p>
    <w:p>
      <w:pPr>
        <w:pStyle w:val="ListBullet"/>
      </w:pPr>
      <w:r>
        <w:t>hoe verantwoordelijkheden tussen gemeente en partners worden verdeeld;</w:t>
      </w:r>
    </w:p>
    <w:p>
      <w:pPr>
        <w:pStyle w:val="ListBullet"/>
      </w:pPr>
      <w:r>
        <w:t>hoe bestaande samenwerking, waaronder Positief Gezond Almere, wordt verbonden met de AZWA-uitwerking;</w:t>
      </w:r>
    </w:p>
    <w:p>
      <w:pPr>
        <w:pStyle w:val="ListBullet"/>
      </w:pPr>
      <w:r>
        <w:t>hoe beschikbare of verwachte middelen worden verbonden aan de lokale inzet;</w:t>
      </w:r>
    </w:p>
    <w:p>
      <w:pPr>
        <w:pStyle w:val="ListBullet"/>
      </w:pPr>
      <w:r>
        <w:t>hoe het college en de raad worden betrokken.</w:t>
      </w:r>
    </w:p>
    <w:p>
      <w:pPr>
        <w:pStyle w:val="Heading2"/>
      </w:pPr>
      <w:r>
        <w:t>7. Samenwerking en aansluiting</w:t>
      </w:r>
    </w:p>
    <w:p>
      <w:r>
        <w:t>De AZWA-uitwerking voor D5 en D6 vraagt afstemming met regionale partners, maar dit plan werkt die route niet verder uit. Voor Almere is vooral van belang dat de lokale uitwerking aansluit op bestaande samenwerking en uitvoeringskennis.</w:t>
      </w:r>
    </w:p>
    <w:p>
      <w:r>
        <w:t>Met Positief Gezond Almere loopt al een breed transformatieprogramma met 20 miljoen euro uit het IZA. Aansluiting op bestaande netwerken en uitvoeringskennis ligt daarom voor de hand.</w:t>
      </w:r>
    </w:p>
    <w:p>
      <w:pPr>
        <w:pStyle w:val="Heading2"/>
      </w:pPr>
      <w:r>
        <w:t>8. Financiering en middelen</w:t>
      </w:r>
    </w:p>
    <w:p>
      <w:r>
        <w:t>De landelijke bekostigingsroute voor gemeenten is nog in uitwerking. De bronnen wijzen op aanvullende middelen in 2026, op verdere ondersteuning in de jaren daarna en op de koppeling tussen middelen en de regionale werkagenda.</w:t>
      </w:r>
    </w:p>
    <w:p>
      <w:r>
        <w:t>Voor Almere betekent dit dat financiele uitwerking nodig is, maar dat dit concept geen lokale bedragen, verdeelsleutels of scenario's vaststelt. Te bepalen is:</w:t>
      </w:r>
    </w:p>
    <w:p>
      <w:pPr>
        <w:pStyle w:val="ListBullet"/>
      </w:pPr>
      <w:r>
        <w:t>welke middelen voor Almere relevant zijn;</w:t>
      </w:r>
    </w:p>
    <w:p>
      <w:pPr>
        <w:pStyle w:val="ListBullet"/>
      </w:pPr>
      <w:r>
        <w:t>welke inzet binnen bestaande lokale middelen kan worden georganiseerd;</w:t>
      </w:r>
    </w:p>
    <w:p>
      <w:pPr>
        <w:pStyle w:val="ListBullet"/>
      </w:pPr>
      <w:r>
        <w:t>welke inzet al samenhangt met lopende programma's of regelingen;</w:t>
      </w:r>
    </w:p>
    <w:p>
      <w:pPr>
        <w:pStyle w:val="ListBullet"/>
      </w:pPr>
      <w:r>
        <w:t>welke inzet afhankelijk is van aanvullende middelen;</w:t>
      </w:r>
    </w:p>
    <w:p>
      <w:pPr>
        <w:pStyle w:val="ListBullet"/>
      </w:pPr>
      <w:r>
        <w:t>voor welke onderdelen nog een lokale bestuurlijke keuze over dekking nodig is.</w:t>
      </w:r>
    </w:p>
    <w:p>
      <w:r>
        <w:t>Deze ordening is van belang, omdat de financiele gevolgen kunnen doorwerken in de Almeerse P&amp;C-cyclus.</w:t>
      </w:r>
    </w:p>
    <w:p>
      <w:pPr>
        <w:pStyle w:val="Heading2"/>
      </w:pPr>
      <w:r>
        <w:t>9. Planning en externe ijkmomenten</w:t>
      </w:r>
    </w:p>
    <w:p>
      <w:r>
        <w:t>De beschikbare bronnen bevatten verschillende externe ijkmomenten. Deze zijn:</w:t>
      </w:r>
    </w:p>
    <w:p>
      <w:pPr>
        <w:pStyle w:val="ListBullet"/>
      </w:pPr>
      <w:r>
        <w:t>de VNG- en VWS-publicaties van 22 april 2026 over AZWA-financiering en werkagenda;</w:t>
      </w:r>
    </w:p>
    <w:p>
      <w:pPr>
        <w:pStyle w:val="ListBullet"/>
      </w:pPr>
      <w:r>
        <w:t>de landelijke thematafel Medisch-Sociaal en Preventie van 26 mei 2026;</w:t>
      </w:r>
    </w:p>
    <w:p>
      <w:pPr>
        <w:pStyle w:val="ListBullet"/>
      </w:pPr>
      <w:r>
        <w:t>de handreikingen die daarna beschikbaar komen;</w:t>
      </w:r>
    </w:p>
    <w:p>
      <w:pPr>
        <w:pStyle w:val="ListBullet"/>
      </w:pPr>
      <w:r>
        <w:t>de vaststellingstermijn van 15 november 2026 voor de regionale werkagenda.</w:t>
      </w:r>
    </w:p>
    <w:p>
      <w:r>
        <w:t>Voor Almere moet die planning worden gelezen in samenhang met de gemeentelijke financiele cyclus. De perspectiefnota is het voorjaarsmoment voor de inzet van geld; de uitwerking volgt daarna in de meerjarenbegroting in het najaar. In 2025 bood het college de begroting 2026 op 9 oktober aan en stemde de raad daar op 13 november mee in. Ook de verkiezingen van 18 maart 2026, de meivakantie en de zomervakantie beperken de bestuurlijke ruimte in 2026.</w:t>
      </w:r>
    </w:p>
    <w:p>
      <w:r>
        <w:t>Daarom is het verdedigbaar om medio september 2026 als interne afrondingsgrens te hanteren. Dat is geen formeel voorschrift, maar een bestuurlijk planningsoordeel dat aansluit bij de landelijke stukken en de Almeerse kalender.</w:t>
      </w:r>
    </w:p>
    <w:p>
      <w:pPr>
        <w:pStyle w:val="Heading2"/>
      </w:pPr>
      <w:r>
        <w:t>10. Organisatie en governance</w:t>
      </w:r>
    </w:p>
    <w:p>
      <w:r>
        <w:t>De regionale werkagenda moet door de colleges van B en W worden vastgesteld. Voor Almere betekent dit dat de ambtelijke uitwerking, regionale afstemming en bestuurlijke voorbereiding ruim voor november op orde moeten zijn.</w:t>
      </w:r>
    </w:p>
    <w:p>
      <w:r>
        <w:t>Te bepalen is:</w:t>
      </w:r>
    </w:p>
    <w:p>
      <w:pPr>
        <w:pStyle w:val="ListBullet"/>
      </w:pPr>
      <w:r>
        <w:t>waar de centrale ambtelijke regie wordt gelegd;</w:t>
      </w:r>
    </w:p>
    <w:p>
      <w:pPr>
        <w:pStyle w:val="ListBullet"/>
      </w:pPr>
      <w:r>
        <w:t>hoe beleid, uitvoering en financien/control daarbij worden verbonden;</w:t>
      </w:r>
    </w:p>
    <w:p>
      <w:pPr>
        <w:pStyle w:val="ListBullet"/>
      </w:pPr>
      <w:r>
        <w:t>hoe portefeuillehouders het regionale mandaat dragen;</w:t>
      </w:r>
    </w:p>
    <w:p>
      <w:pPr>
        <w:pStyle w:val="ListBullet"/>
      </w:pPr>
      <w:r>
        <w:t>wanneer de raad in beeld komt bij keuzes over middelen, kaders en voortgang.</w:t>
      </w:r>
    </w:p>
    <w:p>
      <w:pPr>
        <w:pStyle w:val="Heading2"/>
      </w:pPr>
      <w:r>
        <w:t>11. Monitoring en verantwoording</w:t>
      </w:r>
    </w:p>
    <w:p>
      <w:r>
        <w:t>De landelijke stukken leggen nadruk op monitoring en bijsturing. Voor Almere is nog te bepalen hoe lokale voortgang wordt verbonden met regionale en landelijke cycli.</w:t>
      </w:r>
    </w:p>
    <w:p>
      <w:r>
        <w:t>Te beoordelen vragen zijn:</w:t>
      </w:r>
    </w:p>
    <w:p>
      <w:pPr>
        <w:pStyle w:val="ListBullet"/>
      </w:pPr>
      <w:r>
        <w:t>welke indicatoren lokaal nodig zijn;</w:t>
      </w:r>
    </w:p>
    <w:p>
      <w:pPr>
        <w:pStyle w:val="ListBullet"/>
      </w:pPr>
      <w:r>
        <w:t>welke informatie al beschikbaar is;</w:t>
      </w:r>
    </w:p>
    <w:p>
      <w:pPr>
        <w:pStyle w:val="ListBullet"/>
      </w:pPr>
      <w:r>
        <w:t>hoe lokale monitoring aansluit op regionale en landelijke afspraken;</w:t>
      </w:r>
    </w:p>
    <w:p>
      <w:pPr>
        <w:pStyle w:val="ListBullet"/>
      </w:pPr>
      <w:r>
        <w:t>hoe de raad over voortgang wordt geinformeerd;</w:t>
      </w:r>
    </w:p>
    <w:p>
      <w:pPr>
        <w:pStyle w:val="ListBullet"/>
      </w:pPr>
      <w:r>
        <w:t>hoe open punten zichtbaar blijven.</w:t>
      </w:r>
    </w:p>
    <w:p>
      <w:r>
        <w:t>Dit concept stelt nog geen KPI-set of rapportageritme vast.</w:t>
      </w:r>
    </w:p>
    <w:p>
      <w:pPr>
        <w:pStyle w:val="Heading2"/>
      </w:pPr>
      <w:r>
        <w:t>12. Aandachtspunten en afhankelijkheden</w:t>
      </w:r>
    </w:p>
    <w:p>
      <w:r>
        <w:t>Voor verdere uitwerking zijn de volgende aandachtspunten relevant:</w:t>
      </w:r>
    </w:p>
    <w:p>
      <w:pPr>
        <w:pStyle w:val="ListBullet"/>
      </w:pPr>
      <w:r>
        <w:t>de landelijke bekostigingsroute is nog in uitwerking;</w:t>
      </w:r>
    </w:p>
    <w:p>
      <w:pPr>
        <w:pStyle w:val="ListBullet"/>
      </w:pPr>
      <w:r>
        <w:t>de regionale werkagenda is bepalend voor de verbinding tussen inhoud en middelen;</w:t>
      </w:r>
    </w:p>
    <w:p>
      <w:pPr>
        <w:pStyle w:val="ListBullet"/>
      </w:pPr>
      <w:r>
        <w:t>bestaande samenwerking via Positief Gezond Almere moet herkenbaar worden verbonden met de AZWA-uitwerking;</w:t>
      </w:r>
    </w:p>
    <w:p>
      <w:pPr>
        <w:pStyle w:val="ListBullet"/>
      </w:pPr>
      <w:r>
        <w:t>de koppeling met de Almeerse P&amp;C-cyclus vraagt tijdige financiele duiding;</w:t>
      </w:r>
    </w:p>
    <w:p>
      <w:pPr>
        <w:pStyle w:val="ListBullet"/>
      </w:pPr>
      <w:r>
        <w:t>interne planning, capaciteit en producten moeten nog door Almere worden bepaald.</w:t>
      </w:r>
    </w:p>
    <w:p>
      <w:r>
        <w:t>Deze aandachtspunten zijn bedoeld als basis voor beoordeling en besluitvorming. Ze zijn geen vastgestelde beheersmaatregelen.</w:t>
      </w:r>
    </w:p>
    <w:p>
      <w:pPr>
        <w:pStyle w:val="Heading2"/>
      </w:pPr>
      <w:r>
        <w:t>13. Vervolgstappen ter beoordeling</w:t>
      </w:r>
    </w:p>
    <w:p>
      <w:r>
        <w:t>Voor de verdere uitwerking ligt het voor de hand om ambtelijk en bestuurlijk te bepalen:</w:t>
      </w:r>
    </w:p>
    <w:p>
      <w:pPr>
        <w:pStyle w:val="ListBullet"/>
      </w:pPr>
      <w:r>
        <w:t>welke lokale D5- en D6-keuzes eerst moeten worden voorbereid;</w:t>
      </w:r>
    </w:p>
    <w:p>
      <w:pPr>
        <w:pStyle w:val="ListBullet"/>
      </w:pPr>
      <w:r>
        <w:t>hoe de lokale uitwerking aansluit op de regionale werkagenda;</w:t>
      </w:r>
    </w:p>
    <w:p>
      <w:pPr>
        <w:pStyle w:val="ListBullet"/>
      </w:pPr>
      <w:r>
        <w:t>welke financiele informatie nodig is voor besluitvorming in samenhang met perspectiefnota en begroting;</w:t>
      </w:r>
    </w:p>
    <w:p>
      <w:pPr>
        <w:pStyle w:val="ListBullet"/>
      </w:pPr>
      <w:r>
        <w:t>welke lokale documenten of besluiten nodig zijn om de AZWA-uitwerking bestuurlijk herkenbaar te maken;</w:t>
      </w:r>
    </w:p>
    <w:p>
      <w:pPr>
        <w:pStyle w:val="ListBullet"/>
      </w:pPr>
      <w:r>
        <w:t>welke interne werkplanning nodig is richting medio september 2026.</w:t>
      </w:r>
    </w:p>
    <w:p>
      <w:r>
        <w:t>De uitkomst van die beoordeling bepaalt of en hoe dit concept wordt omgezet in een vastgesteld lokaal plan van aanpak.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