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5BC6" w14:textId="77777777" w:rsidR="00605572" w:rsidRPr="009B6D20" w:rsidRDefault="00000000">
      <w:pPr>
        <w:pStyle w:val="Heading1"/>
        <w:rPr>
          <w:lang w:val="nl-NL"/>
        </w:rPr>
      </w:pPr>
      <w:bookmarkStart w:id="0" w:name="claimcheck-plan-van-aanpak-azwa-almere"/>
      <w:r w:rsidRPr="009B6D20">
        <w:rPr>
          <w:lang w:val="nl-NL"/>
        </w:rPr>
        <w:t>Claimcheck Plan van Aanpak AZWA Almere</w:t>
      </w:r>
    </w:p>
    <w:p w14:paraId="7CF3AFAA" w14:textId="77777777" w:rsidR="00605572" w:rsidRDefault="00000000">
      <w:pPr>
        <w:pStyle w:val="FirstParagraph"/>
      </w:pPr>
      <w:r>
        <w:t>Datum toetsing: 24 april 2026</w:t>
      </w:r>
      <w:r>
        <w:br/>
        <w:t>Status: interne broncheck / reviewer-notitie</w:t>
      </w:r>
    </w:p>
    <w:p w14:paraId="4E470ADC" w14:textId="3BD82A82" w:rsidR="00605572" w:rsidRDefault="00000000">
      <w:pPr>
        <w:pStyle w:val="Heading2"/>
      </w:pPr>
      <w:bookmarkStart w:id="1" w:name="bronvast-backed"/>
      <w:r>
        <w:t>Bronvast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605572" w14:paraId="26D6C3E0" w14:textId="77777777" w:rsidTr="009B6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6787D6E" w14:textId="77777777" w:rsidR="00605572" w:rsidRDefault="00000000">
            <w:pPr>
              <w:pStyle w:val="Compact"/>
            </w:pPr>
            <w:r>
              <w:t>Claim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2770A0D5" w14:textId="77777777" w:rsidR="00605572" w:rsidRDefault="00000000">
            <w:pPr>
              <w:pStyle w:val="Compact"/>
            </w:pPr>
            <w:r>
              <w:t>Waarom bronvast</w:t>
            </w:r>
          </w:p>
        </w:tc>
      </w:tr>
      <w:tr w:rsidR="00605572" w:rsidRPr="009B6D20" w14:paraId="4CF40B76" w14:textId="77777777" w:rsidTr="009B6D20">
        <w:tc>
          <w:tcPr>
            <w:tcW w:w="3960" w:type="dxa"/>
          </w:tcPr>
          <w:p w14:paraId="18254091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 is op 8 september 2025 getekend.</w:t>
            </w:r>
          </w:p>
        </w:tc>
        <w:tc>
          <w:tcPr>
            <w:tcW w:w="3960" w:type="dxa"/>
          </w:tcPr>
          <w:p w14:paraId="682ACC7F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De Kamerbrief van 8 september 2025 zegt dat de minister het AZWA “vandaag” heeft getekend; de programmapagina noemt ook 8 september 2025.</w:t>
            </w:r>
          </w:p>
        </w:tc>
      </w:tr>
      <w:tr w:rsidR="00605572" w:rsidRPr="009B6D20" w14:paraId="5412E5FB" w14:textId="77777777" w:rsidTr="009B6D20">
        <w:tc>
          <w:tcPr>
            <w:tcW w:w="3960" w:type="dxa"/>
          </w:tcPr>
          <w:p w14:paraId="49689A37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 vult IZA en GALA aan.</w:t>
            </w:r>
          </w:p>
        </w:tc>
        <w:tc>
          <w:tcPr>
            <w:tcW w:w="3960" w:type="dxa"/>
          </w:tcPr>
          <w:p w14:paraId="4CF0FC7B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De aanbiedingsbrief en VWS-programmapagina zeggen dat AZWA voortbouwt op / aanvullend is op IZA en GALA.</w:t>
            </w:r>
          </w:p>
        </w:tc>
      </w:tr>
      <w:tr w:rsidR="00605572" w:rsidRPr="009B6D20" w14:paraId="237B119D" w14:textId="77777777" w:rsidTr="009B6D20">
        <w:tc>
          <w:tcPr>
            <w:tcW w:w="3960" w:type="dxa"/>
          </w:tcPr>
          <w:p w14:paraId="740DAC37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Positief Gezond Almere is de lokale IZA-transformatie in Almere.</w:t>
            </w:r>
          </w:p>
        </w:tc>
        <w:tc>
          <w:tcPr>
            <w:tcW w:w="3960" w:type="dxa"/>
          </w:tcPr>
          <w:p w14:paraId="4B94B89C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PGA-bronnen en SEO-businesscase beschrijven PGA als Almeers transformatieplan dat aansluit op IZA-doelen.</w:t>
            </w:r>
          </w:p>
        </w:tc>
      </w:tr>
      <w:tr w:rsidR="00605572" w:rsidRPr="009B6D20" w14:paraId="6C702DB9" w14:textId="77777777" w:rsidTr="009B6D20">
        <w:tc>
          <w:tcPr>
            <w:tcW w:w="3960" w:type="dxa"/>
          </w:tcPr>
          <w:p w14:paraId="435F7ED0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 geeft sociaal domein / publieke gezondheid explicietere plek dan IZA.</w:t>
            </w:r>
          </w:p>
        </w:tc>
        <w:tc>
          <w:tcPr>
            <w:tcW w:w="3960" w:type="dxa"/>
          </w:tcPr>
          <w:p w14:paraId="4190D60B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VNG-ledenbrief onderhandelaarsakkoord zegt dat sociaal domein en publieke gezondheid explicietere plek krijgen.</w:t>
            </w:r>
          </w:p>
        </w:tc>
      </w:tr>
      <w:tr w:rsidR="00605572" w:rsidRPr="009B6D20" w14:paraId="5EFB250E" w14:textId="77777777" w:rsidTr="009B6D20">
        <w:tc>
          <w:tcPr>
            <w:tcW w:w="3960" w:type="dxa"/>
          </w:tcPr>
          <w:p w14:paraId="26970839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D5 en D6 zijn voor gemeenten zeer relevant.</w:t>
            </w:r>
          </w:p>
        </w:tc>
        <w:tc>
          <w:tcPr>
            <w:tcW w:w="3960" w:type="dxa"/>
          </w:tcPr>
          <w:p w14:paraId="0B23297C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VWS/VNG 22-aprilstukken gaan expliciet over gemeentelijke inzet op D5 basisfunctionaliteiten en D6 basisinfrastructuur.</w:t>
            </w:r>
          </w:p>
        </w:tc>
      </w:tr>
      <w:tr w:rsidR="00605572" w:rsidRPr="009B6D20" w14:paraId="4568684E" w14:textId="77777777" w:rsidTr="009B6D20">
        <w:tc>
          <w:tcPr>
            <w:tcW w:w="3960" w:type="dxa"/>
          </w:tcPr>
          <w:p w14:paraId="63C96DF7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Twee transitiedoelen: arbeidsmarkttekort afwenden en gelijkwaardigere toegang.</w:t>
            </w:r>
          </w:p>
        </w:tc>
        <w:tc>
          <w:tcPr>
            <w:tcW w:w="3960" w:type="dxa"/>
          </w:tcPr>
          <w:p w14:paraId="418C7B71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AZWA-akkoord noemt deze twee transitiedoelen expliciet.</w:t>
            </w:r>
          </w:p>
        </w:tc>
      </w:tr>
      <w:tr w:rsidR="00605572" w:rsidRPr="009B6D20" w14:paraId="21CC88E1" w14:textId="77777777" w:rsidTr="009B6D20">
        <w:tc>
          <w:tcPr>
            <w:tcW w:w="3960" w:type="dxa"/>
          </w:tcPr>
          <w:p w14:paraId="51765266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Streefdoel: arbeidsmarkttekort tot en met 2028 100.000 personen lager dan anders.</w:t>
            </w:r>
          </w:p>
        </w:tc>
        <w:tc>
          <w:tcPr>
            <w:tcW w:w="3960" w:type="dxa"/>
          </w:tcPr>
          <w:p w14:paraId="4343F9A2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AZWA-akkoord noemt dit exact.</w:t>
            </w:r>
          </w:p>
        </w:tc>
      </w:tr>
      <w:tr w:rsidR="00605572" w:rsidRPr="009B6D20" w14:paraId="4D07DD62" w14:textId="77777777" w:rsidTr="009B6D20">
        <w:tc>
          <w:tcPr>
            <w:tcW w:w="3960" w:type="dxa"/>
          </w:tcPr>
          <w:p w14:paraId="3EABEF16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Werkagenda uiterlijk 15 november 2026 vastgesteld door colleges; praktisch medio/half september gereed.</w:t>
            </w:r>
          </w:p>
        </w:tc>
        <w:tc>
          <w:tcPr>
            <w:tcW w:w="3960" w:type="dxa"/>
          </w:tcPr>
          <w:p w14:paraId="6500068B" w14:textId="063E6B7C" w:rsidR="00605572" w:rsidRPr="009B6D20" w:rsidRDefault="009B6D2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VNG-ledenbrief van 22 april</w:t>
            </w:r>
          </w:p>
        </w:tc>
      </w:tr>
      <w:tr w:rsidR="00605572" w:rsidRPr="009B6D20" w14:paraId="4C861C1E" w14:textId="77777777" w:rsidTr="009B6D20">
        <w:tc>
          <w:tcPr>
            <w:tcW w:w="3960" w:type="dxa"/>
          </w:tcPr>
          <w:p w14:paraId="41C4DF1B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22-aprilstukken bevatten opdracht, format/proces en financiële informatie over werkagenda/SPUK.</w:t>
            </w:r>
          </w:p>
        </w:tc>
        <w:tc>
          <w:tcPr>
            <w:tcW w:w="3960" w:type="dxa"/>
          </w:tcPr>
          <w:p w14:paraId="38AFD4DE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VNG-ledenbrief van 22 april noemt vier bijlagen: VWS-brief, opdracht, format, toelichting producten/proces.</w:t>
            </w:r>
          </w:p>
        </w:tc>
      </w:tr>
      <w:tr w:rsidR="00605572" w:rsidRPr="009B6D20" w14:paraId="506DEECE" w14:textId="77777777" w:rsidTr="009B6D20">
        <w:tc>
          <w:tcPr>
            <w:tcW w:w="3960" w:type="dxa"/>
          </w:tcPr>
          <w:p w14:paraId="4FF19213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Werkagenda is aanvulling op het regioplan.</w:t>
            </w:r>
          </w:p>
        </w:tc>
        <w:tc>
          <w:tcPr>
            <w:tcW w:w="3960" w:type="dxa"/>
          </w:tcPr>
          <w:p w14:paraId="017DC151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VNG/VWS-toelichting en opdracht werkagenda zeggen dit expliciet.</w:t>
            </w:r>
          </w:p>
        </w:tc>
      </w:tr>
      <w:tr w:rsidR="00605572" w:rsidRPr="009B6D20" w14:paraId="4BB6F589" w14:textId="77777777" w:rsidTr="009B6D20">
        <w:tc>
          <w:tcPr>
            <w:tcW w:w="3960" w:type="dxa"/>
          </w:tcPr>
          <w:p w14:paraId="246F3F63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lastRenderedPageBreak/>
              <w:t>Werkagenda moet doelen, prioritering, inzet/planning/financiering, rolverdeling, monitoring/bijsturing bevatten.</w:t>
            </w:r>
          </w:p>
        </w:tc>
        <w:tc>
          <w:tcPr>
            <w:tcW w:w="3960" w:type="dxa"/>
          </w:tcPr>
          <w:p w14:paraId="5ADF8324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VNG-ledenbrief 22 april noemt deze onderdelen.</w:t>
            </w:r>
          </w:p>
        </w:tc>
      </w:tr>
      <w:tr w:rsidR="00605572" w:rsidRPr="009B6D20" w14:paraId="6C5C36C1" w14:textId="77777777" w:rsidTr="009B6D20">
        <w:tc>
          <w:tcPr>
            <w:tcW w:w="3960" w:type="dxa"/>
          </w:tcPr>
          <w:p w14:paraId="44F67378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D5 gaat over versterken samenwerking zorgdomein en sociaal domein om toestroom naar Zvw-zorg te beperken.</w:t>
            </w:r>
          </w:p>
        </w:tc>
        <w:tc>
          <w:tcPr>
            <w:tcW w:w="3960" w:type="dxa"/>
          </w:tcPr>
          <w:p w14:paraId="3DB88F3F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 D5-passage zegt dit vrijwel letterlijk.</w:t>
            </w:r>
          </w:p>
        </w:tc>
      </w:tr>
      <w:tr w:rsidR="00605572" w:rsidRPr="009B6D20" w14:paraId="69CB7D3E" w14:textId="77777777" w:rsidTr="009B6D20">
        <w:tc>
          <w:tcPr>
            <w:tcW w:w="3960" w:type="dxa"/>
          </w:tcPr>
          <w:p w14:paraId="28AD8645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D5 leefgebieden: kansrijk opgroeien, gezonde leefstijl, mentale gezondheid, vitaal ouder worden, gezondheidsachterstanden.</w:t>
            </w:r>
          </w:p>
        </w:tc>
        <w:tc>
          <w:tcPr>
            <w:tcW w:w="3960" w:type="dxa"/>
          </w:tcPr>
          <w:p w14:paraId="2404DE28" w14:textId="65EBCC93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 D5-definitie.</w:t>
            </w:r>
          </w:p>
        </w:tc>
      </w:tr>
      <w:tr w:rsidR="00605572" w:rsidRPr="009B6D20" w14:paraId="4CB5386A" w14:textId="77777777" w:rsidTr="009B6D20">
        <w:tc>
          <w:tcPr>
            <w:tcW w:w="3960" w:type="dxa"/>
          </w:tcPr>
          <w:p w14:paraId="3E90B620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Lokale interventiekeuze: het “hoe” mag lokaal/regionaal worden ingevuld.</w:t>
            </w:r>
          </w:p>
        </w:tc>
        <w:tc>
          <w:tcPr>
            <w:tcW w:w="3960" w:type="dxa"/>
          </w:tcPr>
          <w:p w14:paraId="50A7B41A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 zegt dat lokaal wordt bepaald welke interventie wordt ingezet om invulling te geven.</w:t>
            </w:r>
          </w:p>
        </w:tc>
      </w:tr>
      <w:tr w:rsidR="00605572" w:rsidRPr="009B6D20" w14:paraId="7C834D34" w14:textId="77777777" w:rsidTr="009B6D20">
        <w:tc>
          <w:tcPr>
            <w:tcW w:w="3960" w:type="dxa"/>
          </w:tcPr>
          <w:p w14:paraId="5F4214B8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Doel richting landelijke dekking in 2030.</w:t>
            </w:r>
          </w:p>
        </w:tc>
        <w:tc>
          <w:tcPr>
            <w:tcW w:w="3960" w:type="dxa"/>
          </w:tcPr>
          <w:p w14:paraId="0521CB5C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Opdracht werkagenda en VNG-ledenbrief noemen regionaal/landelijk dekkend aanbod richting 2030.</w:t>
            </w:r>
          </w:p>
        </w:tc>
      </w:tr>
      <w:tr w:rsidR="00605572" w14:paraId="6BFA55CD" w14:textId="77777777" w:rsidTr="009B6D20">
        <w:tc>
          <w:tcPr>
            <w:tcW w:w="3960" w:type="dxa"/>
          </w:tcPr>
          <w:p w14:paraId="5435BA5A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D6 is basisinfrastructuur ter ondersteuning van basisfunctionaliteiten.</w:t>
            </w:r>
          </w:p>
        </w:tc>
        <w:tc>
          <w:tcPr>
            <w:tcW w:w="3960" w:type="dxa"/>
          </w:tcPr>
          <w:p w14:paraId="2C3AEF48" w14:textId="77777777" w:rsidR="00605572" w:rsidRDefault="00000000">
            <w:pPr>
              <w:pStyle w:val="Compact"/>
            </w:pPr>
            <w:r>
              <w:t>AZWA D6-passage en VWS-brief 22 april.</w:t>
            </w:r>
          </w:p>
        </w:tc>
      </w:tr>
      <w:tr w:rsidR="00605572" w:rsidRPr="009B6D20" w14:paraId="7229DCB3" w14:textId="77777777" w:rsidTr="009B6D20">
        <w:tc>
          <w:tcPr>
            <w:tcW w:w="3960" w:type="dxa"/>
          </w:tcPr>
          <w:p w14:paraId="7DBA7F99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D6 omvat o.a. inloopvoorzieningen, lokale teams/hechte wijkverbanden, burgerinitiatieven, Gezonde School, GGD-coördinatie/kennisfunctie.</w:t>
            </w:r>
          </w:p>
        </w:tc>
        <w:tc>
          <w:tcPr>
            <w:tcW w:w="3960" w:type="dxa"/>
          </w:tcPr>
          <w:p w14:paraId="76BE0099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 D6-passage en VWS-financieringsbrief.</w:t>
            </w:r>
          </w:p>
        </w:tc>
      </w:tr>
      <w:tr w:rsidR="00605572" w14:paraId="39C0C40F" w14:textId="77777777" w:rsidTr="009B6D20">
        <w:tc>
          <w:tcPr>
            <w:tcW w:w="3960" w:type="dxa"/>
          </w:tcPr>
          <w:p w14:paraId="4B04A741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Lokale teams/hechte wijkverbanden uiterlijk Q4 2028 overal gereed.</w:t>
            </w:r>
          </w:p>
        </w:tc>
        <w:tc>
          <w:tcPr>
            <w:tcW w:w="3960" w:type="dxa"/>
          </w:tcPr>
          <w:p w14:paraId="0C913591" w14:textId="77777777" w:rsidR="00605572" w:rsidRDefault="00000000">
            <w:pPr>
              <w:pStyle w:val="Compact"/>
            </w:pPr>
            <w:r>
              <w:t>AZWA D6-passage noemt Q4 2028.</w:t>
            </w:r>
          </w:p>
        </w:tc>
      </w:tr>
      <w:tr w:rsidR="00605572" w:rsidRPr="009B6D20" w14:paraId="491787EF" w14:textId="77777777" w:rsidTr="009B6D20">
        <w:tc>
          <w:tcPr>
            <w:tcW w:w="3960" w:type="dxa"/>
          </w:tcPr>
          <w:p w14:paraId="332E38C2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Nieuwe ontschotte SPUK 2027-2029, één budget zonder exacte bestedingsvoorschriften per thema.</w:t>
            </w:r>
          </w:p>
        </w:tc>
        <w:tc>
          <w:tcPr>
            <w:tcW w:w="3960" w:type="dxa"/>
          </w:tcPr>
          <w:p w14:paraId="0F4444FE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VWS-brief 22 april zegt dit expliciet.</w:t>
            </w:r>
          </w:p>
        </w:tc>
      </w:tr>
      <w:tr w:rsidR="00605572" w:rsidRPr="009B6D20" w14:paraId="14D43E27" w14:textId="77777777" w:rsidTr="009B6D20">
        <w:tc>
          <w:tcPr>
            <w:tcW w:w="3960" w:type="dxa"/>
          </w:tcPr>
          <w:p w14:paraId="26C6B67D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In SPUK komen AZWA D5/D6-middelen, HLO-middelen, structurele GALA-middelen en middelen uit doorbraakmiddelen.</w:t>
            </w:r>
          </w:p>
        </w:tc>
        <w:tc>
          <w:tcPr>
            <w:tcW w:w="3960" w:type="dxa"/>
          </w:tcPr>
          <w:p w14:paraId="3053AB02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VWS-brief 22 april, paragraaf “Welke middelen komen in de SPUK”.</w:t>
            </w:r>
          </w:p>
        </w:tc>
      </w:tr>
      <w:tr w:rsidR="00605572" w:rsidRPr="009B6D20" w14:paraId="70ABDB5B" w14:textId="77777777" w:rsidTr="009B6D20">
        <w:tc>
          <w:tcPr>
            <w:tcW w:w="3960" w:type="dxa"/>
          </w:tcPr>
          <w:p w14:paraId="2D610A27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Brede Regeling Combinatiefuncties, NPLV-multiproblematiek, Mentale Gezonde School 2027 en GGD-kennis/adviesrol 2027 hebben afwijkende route.</w:t>
            </w:r>
          </w:p>
        </w:tc>
        <w:tc>
          <w:tcPr>
            <w:tcW w:w="3960" w:type="dxa"/>
          </w:tcPr>
          <w:p w14:paraId="7ECF458B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VWS-brief 22 april ondersteunt bijlage 3 vrijwel letterlijk.</w:t>
            </w:r>
          </w:p>
        </w:tc>
      </w:tr>
      <w:tr w:rsidR="00605572" w:rsidRPr="009B6D20" w14:paraId="32AB9DE0" w14:textId="77777777" w:rsidTr="009B6D20">
        <w:tc>
          <w:tcPr>
            <w:tcW w:w="3960" w:type="dxa"/>
          </w:tcPr>
          <w:p w14:paraId="0C0B27A0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Gemeenten hoeven geen aanvraag in te dienen; middelen worden ambtshalve uitgekeerd onder voorwaarde van college-goedgekeurde werkagenda.</w:t>
            </w:r>
          </w:p>
        </w:tc>
        <w:tc>
          <w:tcPr>
            <w:tcW w:w="3960" w:type="dxa"/>
          </w:tcPr>
          <w:p w14:paraId="22FBD874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VWS-brief 22 april, paragraaf aanvraag/verantwoording.</w:t>
            </w:r>
          </w:p>
        </w:tc>
      </w:tr>
      <w:tr w:rsidR="00605572" w:rsidRPr="009B6D20" w14:paraId="47146BD6" w14:textId="77777777" w:rsidTr="009B6D20">
        <w:tc>
          <w:tcPr>
            <w:tcW w:w="3960" w:type="dxa"/>
          </w:tcPr>
          <w:p w14:paraId="7CD47C01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lastRenderedPageBreak/>
              <w:t>VWS voert geen inhoudelijke toets uit op de werkagenda.</w:t>
            </w:r>
          </w:p>
        </w:tc>
        <w:tc>
          <w:tcPr>
            <w:tcW w:w="3960" w:type="dxa"/>
          </w:tcPr>
          <w:p w14:paraId="7EA62633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VWS-brief 22 april en opdracht werkagenda.</w:t>
            </w:r>
          </w:p>
        </w:tc>
      </w:tr>
      <w:tr w:rsidR="00605572" w:rsidRPr="009B6D20" w14:paraId="463028A3" w14:textId="77777777" w:rsidTr="009B6D20">
        <w:tc>
          <w:tcPr>
            <w:tcW w:w="3960" w:type="dxa"/>
          </w:tcPr>
          <w:p w14:paraId="7579CD93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Jaarlijkse verantwoording over totaal uitgegeven middelen; monitoring bouwt voort op GALA-monitor; regioscan wordt herhaald.</w:t>
            </w:r>
          </w:p>
        </w:tc>
        <w:tc>
          <w:tcPr>
            <w:tcW w:w="3960" w:type="dxa"/>
          </w:tcPr>
          <w:p w14:paraId="5CD082A0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VWS-brief 22 april zegt dit expliciet.</w:t>
            </w:r>
          </w:p>
        </w:tc>
      </w:tr>
      <w:tr w:rsidR="00605572" w:rsidRPr="009B6D20" w14:paraId="6CBB019B" w14:textId="77777777" w:rsidTr="009B6D20">
        <w:tc>
          <w:tcPr>
            <w:tcW w:w="3960" w:type="dxa"/>
          </w:tcPr>
          <w:p w14:paraId="4093E05D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PGA bevat samenwerking tussen zorg, welzijn, gemeente en andere partners en loopt met impacthorizon 2029.</w:t>
            </w:r>
          </w:p>
        </w:tc>
        <w:tc>
          <w:tcPr>
            <w:tcW w:w="3960" w:type="dxa"/>
          </w:tcPr>
          <w:p w14:paraId="04131FE3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PGA-transformatieplan en SEO-businesscase ondersteunen samenwerking en 2029-horizon.</w:t>
            </w:r>
          </w:p>
        </w:tc>
      </w:tr>
    </w:tbl>
    <w:p w14:paraId="5D3995B6" w14:textId="77777777" w:rsidR="00605572" w:rsidRDefault="00000000">
      <w:pPr>
        <w:pStyle w:val="Heading2"/>
      </w:pPr>
      <w:bookmarkStart w:id="2" w:name="menselijke-interpretatie-voorstel"/>
      <w:bookmarkEnd w:id="1"/>
      <w:r>
        <w:t>Menselijke Interpretatie / Voorstel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605572" w14:paraId="4AC36E2F" w14:textId="77777777" w:rsidTr="009B6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  <w:tcBorders>
              <w:bottom w:val="none" w:sz="0" w:space="0" w:color="auto"/>
            </w:tcBorders>
          </w:tcPr>
          <w:p w14:paraId="05315172" w14:textId="77777777" w:rsidR="00605572" w:rsidRDefault="00000000">
            <w:pPr>
              <w:pStyle w:val="Compact"/>
            </w:pPr>
            <w:r>
              <w:t>Claim</w:t>
            </w:r>
          </w:p>
        </w:tc>
        <w:tc>
          <w:tcPr>
            <w:tcW w:w="4788" w:type="dxa"/>
            <w:tcBorders>
              <w:bottom w:val="none" w:sz="0" w:space="0" w:color="auto"/>
            </w:tcBorders>
          </w:tcPr>
          <w:p w14:paraId="500E2C39" w14:textId="77777777" w:rsidR="00605572" w:rsidRDefault="00000000">
            <w:pPr>
              <w:pStyle w:val="Compact"/>
            </w:pPr>
            <w:r>
              <w:t>Waarom interpretatie</w:t>
            </w:r>
          </w:p>
        </w:tc>
      </w:tr>
      <w:tr w:rsidR="00605572" w:rsidRPr="009B6D20" w14:paraId="6B10833C" w14:textId="77777777" w:rsidTr="009B6D20">
        <w:tc>
          <w:tcPr>
            <w:tcW w:w="4788" w:type="dxa"/>
          </w:tcPr>
          <w:p w14:paraId="4666D4FE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“Voor Almere betekent dit dat de opgave bestuurlijk en financieel tijdig moet worden georganiseerd.”</w:t>
            </w:r>
          </w:p>
        </w:tc>
        <w:tc>
          <w:tcPr>
            <w:tcW w:w="4788" w:type="dxa"/>
          </w:tcPr>
          <w:p w14:paraId="7205FEE5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Logische bestuurlijke gevolgtrekking uit deadlines en middelenroute, maar geen bronfeit.</w:t>
            </w:r>
          </w:p>
        </w:tc>
      </w:tr>
      <w:tr w:rsidR="00605572" w14:paraId="4D6585C1" w14:textId="77777777" w:rsidTr="009B6D20">
        <w:tc>
          <w:tcPr>
            <w:tcW w:w="4788" w:type="dxa"/>
          </w:tcPr>
          <w:p w14:paraId="7387924D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Doel van dit plan: opgave ordenen en basis bieden voor verdere uitwerking.</w:t>
            </w:r>
          </w:p>
        </w:tc>
        <w:tc>
          <w:tcPr>
            <w:tcW w:w="4788" w:type="dxa"/>
          </w:tcPr>
          <w:p w14:paraId="33047767" w14:textId="77777777" w:rsidR="00605572" w:rsidRDefault="00000000">
            <w:pPr>
              <w:pStyle w:val="Compact"/>
            </w:pPr>
            <w:r>
              <w:t>Documentdoel, geen externe waarheidsclaim.</w:t>
            </w:r>
          </w:p>
        </w:tc>
      </w:tr>
      <w:tr w:rsidR="00605572" w:rsidRPr="009B6D20" w14:paraId="04D8A4F3" w14:textId="77777777" w:rsidTr="009B6D20">
        <w:tc>
          <w:tcPr>
            <w:tcW w:w="4788" w:type="dxa"/>
          </w:tcPr>
          <w:p w14:paraId="4AC92710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“Voor Almere ligt de opgave in het bepalen van kader, governance, middeleninzet en monitoring.”</w:t>
            </w:r>
          </w:p>
        </w:tc>
        <w:tc>
          <w:tcPr>
            <w:tcW w:w="4788" w:type="dxa"/>
          </w:tcPr>
          <w:p w14:paraId="21EC6482" w14:textId="020F47B0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Goed verdedigbare interpretatie op basis van open besluitvragen in, maar moet als keuze-/uitwerkingspunt blijven staan.</w:t>
            </w:r>
          </w:p>
        </w:tc>
      </w:tr>
      <w:tr w:rsidR="00605572" w:rsidRPr="009B6D20" w14:paraId="221B95C8" w14:textId="77777777" w:rsidTr="009B6D20">
        <w:tc>
          <w:tcPr>
            <w:tcW w:w="4788" w:type="dxa"/>
          </w:tcPr>
          <w:p w14:paraId="063CA9F7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De kernvragen over organisatie, D5, D6 en verbinding met middelen/monitoring.</w:t>
            </w:r>
          </w:p>
        </w:tc>
        <w:tc>
          <w:tcPr>
            <w:tcW w:w="4788" w:type="dxa"/>
          </w:tcPr>
          <w:p w14:paraId="6051183C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Passende ordening, maar door de auteur geformuleerd.</w:t>
            </w:r>
          </w:p>
        </w:tc>
      </w:tr>
      <w:tr w:rsidR="00605572" w:rsidRPr="009B6D20" w14:paraId="1EB9126A" w14:textId="77777777" w:rsidTr="009B6D20">
        <w:tc>
          <w:tcPr>
            <w:tcW w:w="4788" w:type="dxa"/>
          </w:tcPr>
          <w:p w14:paraId="174DE749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Scope beperken tot D5 en D6.</w:t>
            </w:r>
          </w:p>
        </w:tc>
        <w:tc>
          <w:tcPr>
            <w:tcW w:w="4788" w:type="dxa"/>
          </w:tcPr>
          <w:p w14:paraId="22AE95E4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Bestuurlijke afbakening; sluit aan bij bronbasis, maar is een keuze van dit plan.</w:t>
            </w:r>
          </w:p>
        </w:tc>
      </w:tr>
      <w:tr w:rsidR="00605572" w:rsidRPr="009B6D20" w14:paraId="558D0BD4" w14:textId="77777777" w:rsidTr="009B6D20">
        <w:tc>
          <w:tcPr>
            <w:tcW w:w="4788" w:type="dxa"/>
          </w:tcPr>
          <w:p w14:paraId="3D042408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Bestuurlijke keuzes over governance, prioritering, middelenverdeling en monitoring.</w:t>
            </w:r>
          </w:p>
        </w:tc>
        <w:tc>
          <w:tcPr>
            <w:tcW w:w="4788" w:type="dxa"/>
          </w:tcPr>
          <w:p w14:paraId="62E7113C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Bronbasis ondersteunt dat dit keuzevragen zijn; de concrete lijst is auteursordening.</w:t>
            </w:r>
          </w:p>
        </w:tc>
      </w:tr>
      <w:tr w:rsidR="00605572" w:rsidRPr="009B6D20" w14:paraId="6084BE3F" w14:textId="77777777" w:rsidTr="009B6D20">
        <w:tc>
          <w:tcPr>
            <w:tcW w:w="4788" w:type="dxa"/>
          </w:tcPr>
          <w:p w14:paraId="1F0BA679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Financiële ordening koppelen aan Almeerse P&amp;C-cyclus.</w:t>
            </w:r>
          </w:p>
        </w:tc>
        <w:tc>
          <w:tcPr>
            <w:tcW w:w="4788" w:type="dxa"/>
          </w:tcPr>
          <w:p w14:paraId="1CFE3D5C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Logische lokale consequentie, maar geen expliciete landelijke bronclaim.</w:t>
            </w:r>
          </w:p>
        </w:tc>
      </w:tr>
      <w:tr w:rsidR="00605572" w:rsidRPr="009B6D20" w14:paraId="0ED3FAFF" w14:textId="77777777" w:rsidTr="009B6D20">
        <w:tc>
          <w:tcPr>
            <w:tcW w:w="4788" w:type="dxa"/>
          </w:tcPr>
          <w:p w14:paraId="5F837032" w14:textId="77777777" w:rsidR="00605572" w:rsidRDefault="00000000">
            <w:pPr>
              <w:pStyle w:val="Compact"/>
            </w:pPr>
            <w:r>
              <w:t>De maandplanning mei-december 2026.</w:t>
            </w:r>
          </w:p>
        </w:tc>
        <w:tc>
          <w:tcPr>
            <w:tcW w:w="4788" w:type="dxa"/>
          </w:tcPr>
          <w:p w14:paraId="50740AED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Grotendeels interne werkplanning. Alleen externe ijkmomenten zoals 26 mei, medio september/15 november en middelenroute zijn bronvast.</w:t>
            </w:r>
          </w:p>
        </w:tc>
      </w:tr>
      <w:tr w:rsidR="00605572" w:rsidRPr="009B6D20" w14:paraId="19680DFC" w14:textId="77777777" w:rsidTr="009B6D20">
        <w:tc>
          <w:tcPr>
            <w:tcW w:w="4788" w:type="dxa"/>
          </w:tcPr>
          <w:p w14:paraId="0627DA32" w14:textId="77777777" w:rsidR="009B6D20" w:rsidRDefault="009B6D20">
            <w:pPr>
              <w:pStyle w:val="Compact"/>
              <w:rPr>
                <w:lang w:val="nl-NL"/>
              </w:rPr>
            </w:pPr>
          </w:p>
          <w:p w14:paraId="7550B464" w14:textId="02656031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Risico “niet tijdig opleveren werkagenda”.</w:t>
            </w:r>
          </w:p>
        </w:tc>
        <w:tc>
          <w:tcPr>
            <w:tcW w:w="4788" w:type="dxa"/>
          </w:tcPr>
          <w:p w14:paraId="6A6D6916" w14:textId="77777777" w:rsidR="009B6D20" w:rsidRDefault="009B6D20">
            <w:pPr>
              <w:pStyle w:val="Compact"/>
              <w:rPr>
                <w:lang w:val="nl-NL"/>
              </w:rPr>
            </w:pPr>
          </w:p>
          <w:p w14:paraId="34256387" w14:textId="44FE4A19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Reëel bestuurlijk risico uit planning, maar risico-inschatting is interpretatie.</w:t>
            </w:r>
          </w:p>
        </w:tc>
      </w:tr>
      <w:tr w:rsidR="00605572" w:rsidRPr="009B6D20" w14:paraId="5E1CCCB1" w14:textId="77777777" w:rsidTr="009B6D20">
        <w:tc>
          <w:tcPr>
            <w:tcW w:w="4788" w:type="dxa"/>
          </w:tcPr>
          <w:p w14:paraId="47ED2B27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lastRenderedPageBreak/>
              <w:t>Risico “preventieve interventies moeilijk hard kwantitatief te bewijzen”.</w:t>
            </w:r>
          </w:p>
        </w:tc>
        <w:tc>
          <w:tcPr>
            <w:tcW w:w="4788" w:type="dxa"/>
          </w:tcPr>
          <w:p w14:paraId="709D5041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Plausibele interpretatie bij ontwikkelagenda/bewijslast, maar niet als vastgesteld feit over Almere bronvast.</w:t>
            </w:r>
          </w:p>
        </w:tc>
      </w:tr>
      <w:tr w:rsidR="00605572" w:rsidRPr="009B6D20" w14:paraId="6B52D5A3" w14:textId="77777777" w:rsidTr="009B6D20">
        <w:tc>
          <w:tcPr>
            <w:tcW w:w="4788" w:type="dxa"/>
          </w:tcPr>
          <w:p w14:paraId="11E57E8A" w14:textId="77777777" w:rsidR="00605572" w:rsidRDefault="00000000">
            <w:pPr>
              <w:pStyle w:val="Compact"/>
            </w:pPr>
            <w:r>
              <w:t>Vervolgstappen ter beoordeling.</w:t>
            </w:r>
          </w:p>
        </w:tc>
        <w:tc>
          <w:tcPr>
            <w:tcW w:w="4788" w:type="dxa"/>
          </w:tcPr>
          <w:p w14:paraId="2C343E9D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Correct als voorstel/werkagenda, niet als bronfeit.</w:t>
            </w:r>
          </w:p>
        </w:tc>
      </w:tr>
      <w:tr w:rsidR="00605572" w:rsidRPr="009B6D20" w14:paraId="073AAF58" w14:textId="77777777" w:rsidTr="009B6D20">
        <w:tc>
          <w:tcPr>
            <w:tcW w:w="4788" w:type="dxa"/>
          </w:tcPr>
          <w:p w14:paraId="63DACECA" w14:textId="77777777" w:rsidR="00605572" w:rsidRDefault="00000000">
            <w:pPr>
              <w:pStyle w:val="Compact"/>
            </w:pPr>
            <w:r>
              <w:t>Bijlage 2 subvragen.</w:t>
            </w:r>
          </w:p>
        </w:tc>
        <w:tc>
          <w:tcPr>
            <w:tcW w:w="4788" w:type="dxa"/>
          </w:tcPr>
          <w:p w14:paraId="5C3C0FE5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Goede werkvragen, maar geen toetsbare bronclaims behalve waar ze teruggrijpen op landelijke vereisten.</w:t>
            </w:r>
          </w:p>
        </w:tc>
      </w:tr>
    </w:tbl>
    <w:p w14:paraId="1CE6E178" w14:textId="77777777" w:rsidR="00605572" w:rsidRDefault="00000000">
      <w:pPr>
        <w:pStyle w:val="Heading2"/>
      </w:pPr>
      <w:bookmarkStart w:id="3" w:name="onjuist-false"/>
      <w:bookmarkEnd w:id="2"/>
      <w:r>
        <w:t>Onjuist / False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605572" w14:paraId="0FA8A54D" w14:textId="77777777" w:rsidTr="00162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5" w:type="dxa"/>
            <w:tcBorders>
              <w:bottom w:val="none" w:sz="0" w:space="0" w:color="auto"/>
            </w:tcBorders>
          </w:tcPr>
          <w:p w14:paraId="606481CC" w14:textId="77777777" w:rsidR="00605572" w:rsidRDefault="00000000">
            <w:pPr>
              <w:pStyle w:val="Compact"/>
            </w:pPr>
            <w:r>
              <w:t>Claim</w:t>
            </w:r>
          </w:p>
        </w:tc>
        <w:tc>
          <w:tcPr>
            <w:tcW w:w="4675" w:type="dxa"/>
            <w:tcBorders>
              <w:bottom w:val="none" w:sz="0" w:space="0" w:color="auto"/>
            </w:tcBorders>
          </w:tcPr>
          <w:p w14:paraId="0AD45AB6" w14:textId="77777777" w:rsidR="00605572" w:rsidRDefault="00000000">
            <w:pPr>
              <w:pStyle w:val="Compact"/>
            </w:pPr>
            <w:r>
              <w:t>Waarom onjuist of misleidend</w:t>
            </w:r>
          </w:p>
        </w:tc>
      </w:tr>
      <w:tr w:rsidR="00605572" w:rsidRPr="009B6D20" w14:paraId="63C50489" w14:textId="77777777" w:rsidTr="00162A84">
        <w:tc>
          <w:tcPr>
            <w:tcW w:w="4675" w:type="dxa"/>
          </w:tcPr>
          <w:p w14:paraId="53DA42C1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“In de kern gaat het om onderstaande 3 kernvragen”, gevolgd door 4 kernvragen.</w:t>
            </w:r>
          </w:p>
        </w:tc>
        <w:tc>
          <w:tcPr>
            <w:tcW w:w="4675" w:type="dxa"/>
          </w:tcPr>
          <w:p w14:paraId="773FC066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Interne inconsistentie: er staan vier genummerde kernvragen.</w:t>
            </w:r>
          </w:p>
        </w:tc>
      </w:tr>
      <w:tr w:rsidR="00605572" w14:paraId="1EC545F6" w14:textId="77777777" w:rsidTr="00162A84">
        <w:tc>
          <w:tcPr>
            <w:tcW w:w="4675" w:type="dxa"/>
          </w:tcPr>
          <w:p w14:paraId="32956B56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“BMC trekt landelijk een traject…”</w:t>
            </w:r>
          </w:p>
        </w:tc>
        <w:tc>
          <w:tcPr>
            <w:tcW w:w="4675" w:type="dxa"/>
          </w:tcPr>
          <w:p w14:paraId="29438801" w14:textId="77777777" w:rsidR="00605572" w:rsidRDefault="00000000">
            <w:pPr>
              <w:pStyle w:val="Compact"/>
            </w:pPr>
            <w:r w:rsidRPr="009B6D20">
              <w:rPr>
                <w:lang w:val="nl-NL"/>
              </w:rPr>
              <w:t xml:space="preserve">Niet aangetroffen in de beschikbare bronbasis. Kan extern waar zijn, maar binnen deze broncheck is het niet als feit te onderbouwen. </w:t>
            </w:r>
            <w:r>
              <w:t>Formuleer als “volgens interne informatie” of verplaats naar reviewpunt.</w:t>
            </w:r>
          </w:p>
        </w:tc>
      </w:tr>
      <w:tr w:rsidR="00605572" w:rsidRPr="009B6D20" w14:paraId="1C3FF0AD" w14:textId="77777777" w:rsidTr="00162A84">
        <w:tc>
          <w:tcPr>
            <w:tcW w:w="4675" w:type="dxa"/>
          </w:tcPr>
          <w:p w14:paraId="3A4E13D0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“Transformatieprogramma en samenwerkingsafspraken lopen in ieder geval tot en met 2030.”</w:t>
            </w:r>
          </w:p>
        </w:tc>
        <w:tc>
          <w:tcPr>
            <w:tcW w:w="4675" w:type="dxa"/>
          </w:tcPr>
          <w:p w14:paraId="605AF398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De bronnen ondersteunen PGA/PGA-horizon 2029 en landelijke D5-dekking 2030, maar niet dat Almeerse PGA-samenwerkingsafspraken “in ieder geval tot en met 2030” lopen.</w:t>
            </w:r>
          </w:p>
        </w:tc>
      </w:tr>
    </w:tbl>
    <w:p w14:paraId="30725996" w14:textId="77777777" w:rsidR="00C05410" w:rsidRDefault="00C05410">
      <w:pPr>
        <w:pStyle w:val="Heading2"/>
      </w:pPr>
      <w:bookmarkStart w:id="4" w:name="ambigu-restcategorie"/>
      <w:bookmarkEnd w:id="3"/>
    </w:p>
    <w:p w14:paraId="0F0F9425" w14:textId="77777777" w:rsidR="00C05410" w:rsidRDefault="00C0541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C00EA3F" w14:textId="2DE39673" w:rsidR="00605572" w:rsidRDefault="00000000">
      <w:pPr>
        <w:pStyle w:val="Heading2"/>
      </w:pPr>
      <w:r>
        <w:lastRenderedPageBreak/>
        <w:t>Ambigu / Restcategorie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605572" w14:paraId="527F8B61" w14:textId="77777777" w:rsidTr="00C05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5" w:type="dxa"/>
            <w:tcBorders>
              <w:bottom w:val="none" w:sz="0" w:space="0" w:color="auto"/>
            </w:tcBorders>
          </w:tcPr>
          <w:p w14:paraId="2A276514" w14:textId="77777777" w:rsidR="00605572" w:rsidRDefault="00000000">
            <w:pPr>
              <w:pStyle w:val="Compact"/>
            </w:pPr>
            <w:r>
              <w:t>Claim</w:t>
            </w:r>
          </w:p>
        </w:tc>
        <w:tc>
          <w:tcPr>
            <w:tcW w:w="4675" w:type="dxa"/>
            <w:tcBorders>
              <w:bottom w:val="none" w:sz="0" w:space="0" w:color="auto"/>
            </w:tcBorders>
          </w:tcPr>
          <w:p w14:paraId="445D8336" w14:textId="77777777" w:rsidR="00605572" w:rsidRDefault="00000000">
            <w:pPr>
              <w:pStyle w:val="Compact"/>
            </w:pPr>
            <w:r>
              <w:t>Waarom ambigu</w:t>
            </w:r>
          </w:p>
        </w:tc>
      </w:tr>
      <w:tr w:rsidR="00605572" w:rsidRPr="009B6D20" w14:paraId="0A5585CD" w14:textId="77777777" w:rsidTr="00C05410">
        <w:tc>
          <w:tcPr>
            <w:tcW w:w="4675" w:type="dxa"/>
          </w:tcPr>
          <w:p w14:paraId="0212DD23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“In Almere hebben we al veel ervaring opgedaan met de ketenaanpakken die in GALA staan en nu als opgave omgebouwd moeten worden naar basisfunctionaliteiten.”</w:t>
            </w:r>
          </w:p>
        </w:tc>
        <w:tc>
          <w:tcPr>
            <w:tcW w:w="4675" w:type="dxa"/>
          </w:tcPr>
          <w:p w14:paraId="28BA337A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GALA/IZA-ketenaanpakken en Almere/PGA-initiatieven zijn bronvast, maar “veel ervaring” en “omgebouwd moeten worden” zijn te algemeen.</w:t>
            </w:r>
          </w:p>
        </w:tc>
      </w:tr>
      <w:tr w:rsidR="00605572" w:rsidRPr="009B6D20" w14:paraId="024D87FA" w14:textId="77777777" w:rsidTr="00C05410">
        <w:tc>
          <w:tcPr>
            <w:tcW w:w="4675" w:type="dxa"/>
          </w:tcPr>
          <w:p w14:paraId="59332443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“Gereedschapskist met effectieve interventies waar regio’s/gemeenten uit kunnen kiezen.”</w:t>
            </w:r>
          </w:p>
        </w:tc>
        <w:tc>
          <w:tcPr>
            <w:tcW w:w="4675" w:type="dxa"/>
          </w:tcPr>
          <w:p w14:paraId="1A030E6F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AZWA ondersteunt een dynamische gereedschapskist en aanmeld-/ontwikkelproces, maar “effectieve interventies” is te stellig: ook lerende/onderbouwde aanpakken kunnen erin of richting voorportaal gaan.</w:t>
            </w:r>
          </w:p>
        </w:tc>
      </w:tr>
      <w:tr w:rsidR="00605572" w:rsidRPr="009B6D20" w14:paraId="657887AA" w14:textId="77777777" w:rsidTr="00C05410">
        <w:tc>
          <w:tcPr>
            <w:tcW w:w="4675" w:type="dxa"/>
          </w:tcPr>
          <w:p w14:paraId="7FB79719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“Kern van ALV 28 november 2025 is 2% zorgbudget naar sociaal domein.”</w:t>
            </w:r>
          </w:p>
        </w:tc>
        <w:tc>
          <w:tcPr>
            <w:tcW w:w="4675" w:type="dxa"/>
          </w:tcPr>
          <w:p w14:paraId="412C8F0C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Niet aangetroffen in de huidige bronbasis. Niet als vals bewezen, maar onvoldoende onderbouwd en risicovol als kernclaim.</w:t>
            </w:r>
          </w:p>
        </w:tc>
      </w:tr>
      <w:tr w:rsidR="00605572" w14:paraId="2E7FC226" w14:textId="77777777" w:rsidTr="00C05410">
        <w:tc>
          <w:tcPr>
            <w:tcW w:w="4675" w:type="dxa"/>
          </w:tcPr>
          <w:p w14:paraId="5BF96976" w14:textId="77777777" w:rsidR="00605572" w:rsidRDefault="00000000">
            <w:pPr>
              <w:pStyle w:val="Compact"/>
            </w:pPr>
            <w:r>
              <w:t>“December: ontvangst AZWA-middelen.”</w:t>
            </w:r>
          </w:p>
        </w:tc>
        <w:tc>
          <w:tcPr>
            <w:tcW w:w="4675" w:type="dxa"/>
          </w:tcPr>
          <w:p w14:paraId="0A4FB281" w14:textId="77777777" w:rsidR="00605572" w:rsidRDefault="00000000">
            <w:pPr>
              <w:pStyle w:val="Compact"/>
            </w:pPr>
            <w:r w:rsidRPr="009B6D20">
              <w:rPr>
                <w:lang w:val="nl-NL"/>
              </w:rPr>
              <w:t xml:space="preserve">VWS zegt: als werkagenda medio november 2026 wordt aangeleverd, kan het Rijk middelen nog dit jaar uitkeren. </w:t>
            </w:r>
            <w:r>
              <w:t>“December” is dus een aannemelijke planning, geen bronvaste datum.</w:t>
            </w:r>
          </w:p>
        </w:tc>
      </w:tr>
      <w:tr w:rsidR="00605572" w14:paraId="647F8355" w14:textId="77777777" w:rsidTr="00C05410">
        <w:tc>
          <w:tcPr>
            <w:tcW w:w="4675" w:type="dxa"/>
          </w:tcPr>
          <w:p w14:paraId="0C476B96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“Kostenbesparing Zvw/Wlz verplicht voor onderdelen op ontwikkelagenda.”</w:t>
            </w:r>
          </w:p>
        </w:tc>
        <w:tc>
          <w:tcPr>
            <w:tcW w:w="4675" w:type="dxa"/>
          </w:tcPr>
          <w:p w14:paraId="2AF718CF" w14:textId="77777777" w:rsidR="00605572" w:rsidRDefault="00000000">
            <w:pPr>
              <w:pStyle w:val="Compact"/>
            </w:pPr>
            <w:r w:rsidRPr="009B6D20">
              <w:rPr>
                <w:lang w:val="nl-NL"/>
              </w:rPr>
              <w:t xml:space="preserve">Bronnen zeggen dat structurele financiering bij ontwikkelagenda afhankelijk is van bewijslast over verwachte besparing en kabinetsbesluit. </w:t>
            </w:r>
            <w:r>
              <w:t>“Verplichting” is te hard geformuleerd.</w:t>
            </w:r>
          </w:p>
        </w:tc>
      </w:tr>
      <w:tr w:rsidR="00605572" w:rsidRPr="009B6D20" w14:paraId="0C829979" w14:textId="77777777" w:rsidTr="00C05410">
        <w:tc>
          <w:tcPr>
            <w:tcW w:w="4675" w:type="dxa"/>
          </w:tcPr>
          <w:p w14:paraId="0ADE2E52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“70% AZWA-middelen 2026 doorschuiven naar 2027 is in webinar genoemd.”</w:t>
            </w:r>
          </w:p>
        </w:tc>
        <w:tc>
          <w:tcPr>
            <w:tcW w:w="4675" w:type="dxa"/>
          </w:tcPr>
          <w:p w14:paraId="08A3BC7C" w14:textId="77777777" w:rsidR="00605572" w:rsidRPr="009B6D20" w:rsidRDefault="00000000">
            <w:pPr>
              <w:pStyle w:val="Compact"/>
              <w:rPr>
                <w:lang w:val="nl-NL"/>
              </w:rPr>
            </w:pPr>
            <w:r w:rsidRPr="009B6D20">
              <w:rPr>
                <w:lang w:val="nl-NL"/>
              </w:rPr>
              <w:t>Niet in beschikbare documenten gevonden; omdat de tekst zelf zegt dat documenten dit niet bevestigen, alleen opnemen als onbevestigde webinar-aantekening.</w:t>
            </w:r>
          </w:p>
        </w:tc>
      </w:tr>
      <w:bookmarkEnd w:id="0"/>
      <w:bookmarkEnd w:id="4"/>
    </w:tbl>
    <w:p w14:paraId="6C2364DE" w14:textId="6BC2797A" w:rsidR="00605572" w:rsidRPr="009B6D20" w:rsidRDefault="00605572" w:rsidP="00C05410">
      <w:pPr>
        <w:pStyle w:val="Heading2"/>
        <w:rPr>
          <w:lang w:val="nl-NL"/>
        </w:rPr>
      </w:pPr>
    </w:p>
    <w:sectPr w:rsidR="00605572" w:rsidRPr="009B6D2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7842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300B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76549537">
    <w:abstractNumId w:val="0"/>
  </w:num>
  <w:num w:numId="2" w16cid:durableId="676539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72"/>
    <w:rsid w:val="00162A84"/>
    <w:rsid w:val="00605572"/>
    <w:rsid w:val="007061C7"/>
    <w:rsid w:val="009B6D20"/>
    <w:rsid w:val="00C0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4C776"/>
  <w15:docId w15:val="{9FDF58F2-DED0-4323-9DC6-F3535930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1197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 Meijer</dc:creator>
  <cp:keywords/>
  <cp:lastModifiedBy>Marcel Meijer</cp:lastModifiedBy>
  <cp:revision>4</cp:revision>
  <dcterms:created xsi:type="dcterms:W3CDTF">2026-04-24T11:43:00Z</dcterms:created>
  <dcterms:modified xsi:type="dcterms:W3CDTF">2026-04-24T11:48:00Z</dcterms:modified>
</cp:coreProperties>
</file>