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laimcheck-plan-van-aanpak-azwa-almere"/>
    <w:p>
      <w:pPr>
        <w:pStyle w:val="Heading1"/>
      </w:pPr>
      <w:r>
        <w:t xml:space="preserve">Claimcheck Plan van Aanpak AZWA Almere</w:t>
      </w:r>
    </w:p>
    <w:p>
      <w:pPr>
        <w:pStyle w:val="FirstParagraph"/>
      </w:pPr>
      <w:r>
        <w:t xml:space="preserve">Datum toetsing: 24 april 2026</w:t>
      </w:r>
      <w:r>
        <w:br/>
      </w:r>
      <w:r>
        <w:t xml:space="preserve">Status: interne broncheck / reviewer-notitie</w:t>
      </w:r>
    </w:p>
    <w:bookmarkStart w:id="9" w:name="samenvatting"/>
    <w:p>
      <w:pPr>
        <w:pStyle w:val="Heading2"/>
      </w:pPr>
      <w:r>
        <w:t xml:space="preserve">Samenvatting</w:t>
      </w:r>
    </w:p>
    <w:p>
      <w:pPr>
        <w:pStyle w:val="FirstParagraph"/>
      </w:pPr>
      <w:r>
        <w:t xml:space="preserve">De tekst is inhoudelijk grotendeels op de goede lijn, maar mengt bronvaste feiten, bestuurlijke interpretaties en interne aannames. Vooral planning, regionale werkverdeling, Berenschot/BMC/Netwerkbureau en contactpersonen zijn niet bronvast in de beschikbare corpuslaag.</w:t>
      </w:r>
    </w:p>
    <w:p>
      <w:pPr>
        <w:pStyle w:val="BodyText"/>
      </w:pPr>
      <w:r>
        <w:t xml:space="preserve">Belangrijkste gebruikte basis: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sources markdown canonical/01-aanvullend-zorg-en-welzijnsakkoord-azwa__PDIZA-1087289TK_B_Aanvullend_Zorg-_en_Welzijnsakkoord_AZWA_.md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sources markdown canonical/02-kamerbrief-over-aanbieding-aanvullend-zorg-en-welzijnsakkoord-azwa__PDIZA-1087289TK_A.md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data/intermediate/source_markdown/nat_vws_brief_azwa_d5_d6_financieringsinstrument_2026.md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data/intermediate/source_markdown/nat_azwa_opdracht_werkagenda_d5_2026.md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data/intermediate/source_markdown/nat_azwa_toelichting_producten_proces_2026.md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data/intermediate/source_markdown/nat_vng_ledenbrief_azwa_financiering_2026.md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data/extracted/claims/d5_d6_master.json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data/extracted/municipal/almere_current_view.json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sources markdown canonical/17-over-ons__Transformatieplan_Positief_Gezond_Almere.md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sources markdown canonical/18-naar-een-positief-gezond-almere-beleidstheorie-en-businesscase-transformatieplan__2021-61-Naar-een-gezond-positief-Almere_Wouter-Vermeulen.md</w:t>
      </w:r>
    </w:p>
    <w:bookmarkEnd w:id="9"/>
    <w:bookmarkStart w:id="10" w:name="bronvast-backed"/>
    <w:p>
      <w:pPr>
        <w:pStyle w:val="Heading2"/>
      </w:pPr>
      <w:r>
        <w:t xml:space="preserve">Bronvast / Backed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Waarom bronvast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AZWA is op 8 september 2025 getekend.</w:t>
            </w:r>
          </w:p>
        </w:tc>
        <w:tc>
          <w:tcPr/>
          <w:p>
            <w:pPr>
              <w:pStyle w:val="Compact"/>
            </w:pPr>
            <w:r>
              <w:t xml:space="preserve">De Kamerbrief van 8 september 2025 zegt dat de minister het AZWA</w:t>
            </w:r>
            <w:r>
              <w:t xml:space="preserve"> </w:t>
            </w:r>
            <w:r>
              <w:t xml:space="preserve">“vandaag”</w:t>
            </w:r>
            <w:r>
              <w:t xml:space="preserve"> </w:t>
            </w:r>
            <w:r>
              <w:t xml:space="preserve">heeft getekend; de programmapagina noemt ook 8 september 2025.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AZWA vult IZA en GALA aan.</w:t>
            </w:r>
          </w:p>
        </w:tc>
        <w:tc>
          <w:tcPr/>
          <w:p>
            <w:pPr>
              <w:pStyle w:val="Compact"/>
            </w:pPr>
            <w:r>
              <w:t xml:space="preserve">De aanbiedingsbrief en VWS-programmapagina zeggen dat AZWA voortbouwt op / aanvullend is op IZA en GALA.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Positief Gezond Almere is de lokale IZA-transformatie in Almere.</w:t>
            </w:r>
          </w:p>
        </w:tc>
        <w:tc>
          <w:tcPr/>
          <w:p>
            <w:pPr>
              <w:pStyle w:val="Compact"/>
            </w:pPr>
            <w:r>
              <w:t xml:space="preserve">PGA-bronnen en SEO-businesscase beschrijven PGA als Almeers transformatieplan dat aansluit op IZA-doelen.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AZWA geeft sociaal domein / publieke gezondheid explicietere plek dan IZA.</w:t>
            </w:r>
          </w:p>
        </w:tc>
        <w:tc>
          <w:tcPr/>
          <w:p>
            <w:pPr>
              <w:pStyle w:val="Compact"/>
            </w:pPr>
            <w:r>
              <w:t xml:space="preserve">VNG-ledenbrief onderhandelaarsakkoord zegt dat sociaal domein en publieke gezondheid explicietere plek krijgen.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en D6 zijn voor gemeenten zeer relevant.</w:t>
            </w:r>
          </w:p>
        </w:tc>
        <w:tc>
          <w:tcPr/>
          <w:p>
            <w:pPr>
              <w:pStyle w:val="Compact"/>
            </w:pPr>
            <w:r>
              <w:t xml:space="preserve">VWS/VNG 22-aprilstukken gaan expliciet over gemeentelijke inzet op D5 basisfunctionaliteiten en D6 basisinfrastructuur.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Twee transitiedoelen: arbeidsmarkttekort afwenden en gelijkwaardigere toegang.</w:t>
            </w:r>
          </w:p>
        </w:tc>
        <w:tc>
          <w:tcPr/>
          <w:p>
            <w:pPr>
              <w:pStyle w:val="Compact"/>
            </w:pPr>
            <w:r>
              <w:t xml:space="preserve">AZWA-akkoord noemt deze twee transitiedoelen expliciet.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Streefdoel: arbeidsmarkttekort tot en met 2028 100.000 personen lager dan anders.</w:t>
            </w:r>
          </w:p>
        </w:tc>
        <w:tc>
          <w:tcPr/>
          <w:p>
            <w:pPr>
              <w:pStyle w:val="Compact"/>
            </w:pPr>
            <w:r>
              <w:t xml:space="preserve">AZWA-akkoord noemt dit exact.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Werkagenda uiterlijk 15 november 2026 vastgesteld door colleges; praktisch medio/half september gereed.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nat_azwa_toelichting_producten_proces_2026.md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nat_azwa_opdracht_werkagenda_d5_2026.md</w:t>
            </w:r>
            <w:r>
              <w:t xml:space="preserve"> </w:t>
            </w:r>
            <w:r>
              <w:t xml:space="preserve">ondersteunen dit.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22-aprilstukken bevatten opdracht, format/proces en financiële informatie over werkagenda/SPUK.</w:t>
            </w:r>
          </w:p>
        </w:tc>
        <w:tc>
          <w:tcPr/>
          <w:p>
            <w:pPr>
              <w:pStyle w:val="Compact"/>
            </w:pPr>
            <w:r>
              <w:t xml:space="preserve">VNG-ledenbrief van 22 april noemt vier bijlagen: VWS-brief, opdracht, format, toelichting producten/proces.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Werkagenda is aanvulling op het regioplan.</w:t>
            </w:r>
          </w:p>
        </w:tc>
        <w:tc>
          <w:tcPr/>
          <w:p>
            <w:pPr>
              <w:pStyle w:val="Compact"/>
            </w:pPr>
            <w:r>
              <w:t xml:space="preserve">VNG/VWS-toelichting en opdracht werkagenda zeggen dit expliciet.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Werkagenda moet doelen, prioritering, inzet/planning/financiering, rolverdeling, monitoring/bijsturing bevatten.</w:t>
            </w:r>
          </w:p>
        </w:tc>
        <w:tc>
          <w:tcPr/>
          <w:p>
            <w:pPr>
              <w:pStyle w:val="Compact"/>
            </w:pPr>
            <w:r>
              <w:t xml:space="preserve">VNG-ledenbrief 22 april noemt deze onderdelen.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gaat over versterken samenwerking zorgdomein en sociaal domein om toestroom naar Zvw-zorg te beperken.</w:t>
            </w:r>
          </w:p>
        </w:tc>
        <w:tc>
          <w:tcPr/>
          <w:p>
            <w:pPr>
              <w:pStyle w:val="Compact"/>
            </w:pPr>
            <w:r>
              <w:t xml:space="preserve">AZWA D5-passage zegt dit vrijwel letterlijk.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leefgebieden: kansrijk opgroeien, gezonde leefstijl, mentale gezondheid, vitaal ouder worden, gezondheidsachterstanden.</w:t>
            </w:r>
          </w:p>
        </w:tc>
        <w:tc>
          <w:tcPr/>
          <w:p>
            <w:pPr>
              <w:pStyle w:val="Compact"/>
            </w:pPr>
            <w:r>
              <w:t xml:space="preserve">AZWA D5-definitie en</w:t>
            </w:r>
            <w:r>
              <w:t xml:space="preserve"> </w:t>
            </w:r>
            <w:r>
              <w:rPr>
                <w:rStyle w:val="VerbatimChar"/>
              </w:rPr>
              <w:t xml:space="preserve">d5_d6_master.json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Lokale interventiekeuze: het</w:t>
            </w:r>
            <w:r>
              <w:t xml:space="preserve"> </w:t>
            </w:r>
            <w:r>
              <w:t xml:space="preserve">“hoe”</w:t>
            </w:r>
            <w:r>
              <w:t xml:space="preserve"> </w:t>
            </w:r>
            <w:r>
              <w:t xml:space="preserve">mag lokaal/regionaal worden ingevuld.</w:t>
            </w:r>
          </w:p>
        </w:tc>
        <w:tc>
          <w:tcPr/>
          <w:p>
            <w:pPr>
              <w:pStyle w:val="Compact"/>
            </w:pPr>
            <w:r>
              <w:t xml:space="preserve">AZWA zegt dat lokaal wordt bepaald welke interventie wordt ingezet om invulling te geven.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Doel richting landelijke dekking in 2030.</w:t>
            </w:r>
          </w:p>
        </w:tc>
        <w:tc>
          <w:tcPr/>
          <w:p>
            <w:pPr>
              <w:pStyle w:val="Compact"/>
            </w:pPr>
            <w:r>
              <w:t xml:space="preserve">Opdracht werkagenda en VNG-ledenbrief noemen regionaal/landelijk dekkend aanbod richting 2030.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is basisinfrastructuur ter ondersteuning van basisfunctionaliteiten.</w:t>
            </w:r>
          </w:p>
        </w:tc>
        <w:tc>
          <w:tcPr/>
          <w:p>
            <w:pPr>
              <w:pStyle w:val="Compact"/>
            </w:pPr>
            <w:r>
              <w:t xml:space="preserve">AZWA D6-passage en VWS-brief 22 april.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omvat o.a. inloopvoorzieningen, lokale teams/hechte wijkverbanden, burgerinitiatieven, Gezonde School, GGD-coördinatie/kennisfunctie.</w:t>
            </w:r>
          </w:p>
        </w:tc>
        <w:tc>
          <w:tcPr/>
          <w:p>
            <w:pPr>
              <w:pStyle w:val="Compact"/>
            </w:pPr>
            <w:r>
              <w:t xml:space="preserve">AZWA D6-passage en VWS-financieringsbrief.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Lokale teams/hechte wijkverbanden uiterlijk Q4 2028 overal gereed.</w:t>
            </w:r>
          </w:p>
        </w:tc>
        <w:tc>
          <w:tcPr/>
          <w:p>
            <w:pPr>
              <w:pStyle w:val="Compact"/>
            </w:pPr>
            <w:r>
              <w:t xml:space="preserve">AZWA D6-passage noemt Q4 2028.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Nieuwe ontschotte SPUK 2027-2029, één budget zonder exacte bestedingsvoorschriften per thema.</w:t>
            </w:r>
          </w:p>
        </w:tc>
        <w:tc>
          <w:tcPr/>
          <w:p>
            <w:pPr>
              <w:pStyle w:val="Compact"/>
            </w:pPr>
            <w:r>
              <w:t xml:space="preserve">VWS-brief 22 april zegt dit expliciet.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SPUK komen AZWA D5/D6-middelen, HLO-middelen, structurele GALA-middelen en middelen uit doorbraakmiddelen.</w:t>
            </w:r>
          </w:p>
        </w:tc>
        <w:tc>
          <w:tcPr/>
          <w:p>
            <w:pPr>
              <w:pStyle w:val="Compact"/>
            </w:pPr>
            <w:r>
              <w:t xml:space="preserve">VWS-brief 22 april, paragraaf</w:t>
            </w:r>
            <w:r>
              <w:t xml:space="preserve"> </w:t>
            </w:r>
            <w:r>
              <w:t xml:space="preserve">“Welke middelen komen in de SPUK”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Brede Regeling Combinatiefuncties, NPLV-multiproblematiek, Mentale Gezonde School 2027 en GGD-kennis/adviesrol 2027 hebben afwijkende route.</w:t>
            </w:r>
          </w:p>
        </w:tc>
        <w:tc>
          <w:tcPr/>
          <w:p>
            <w:pPr>
              <w:pStyle w:val="Compact"/>
            </w:pPr>
            <w:r>
              <w:t xml:space="preserve">VWS-brief 22 april ondersteunt bijlage 3 vrijwel letterlijk.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Gemeenten hoeven geen aanvraag in te dienen; middelen worden ambtshalve uitgekeerd onder voorwaarde van college-goedgekeurde werkagenda.</w:t>
            </w:r>
          </w:p>
        </w:tc>
        <w:tc>
          <w:tcPr/>
          <w:p>
            <w:pPr>
              <w:pStyle w:val="Compact"/>
            </w:pPr>
            <w:r>
              <w:t xml:space="preserve">VWS-brief 22 april, paragraaf aanvraag/verantwoording.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VWS voert geen inhoudelijke toets uit op de werkagenda.</w:t>
            </w:r>
          </w:p>
        </w:tc>
        <w:tc>
          <w:tcPr/>
          <w:p>
            <w:pPr>
              <w:pStyle w:val="Compact"/>
            </w:pPr>
            <w:r>
              <w:t xml:space="preserve">VWS-brief 22 april en opdracht werkagenda.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Jaarlijkse verantwoording over totaal uitgegeven middelen; monitoring bouwt voort op GALA-monitor; regioscan wordt herhaald.</w:t>
            </w:r>
          </w:p>
        </w:tc>
        <w:tc>
          <w:tcPr/>
          <w:p>
            <w:pPr>
              <w:pStyle w:val="Compact"/>
            </w:pPr>
            <w:r>
              <w:t xml:space="preserve">VWS-brief 22 april zegt dit expliciet.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PGA bevat samenwerking tussen zorg, welzijn, gemeente en andere partners en loopt met impacthorizon 2029.</w:t>
            </w:r>
          </w:p>
        </w:tc>
        <w:tc>
          <w:tcPr/>
          <w:p>
            <w:pPr>
              <w:pStyle w:val="Compact"/>
            </w:pPr>
            <w:r>
              <w:t xml:space="preserve">PGA-transformatieplan en SEO-businesscase ondersteunen samenwerking en 2029-horizon.</w:t>
            </w:r>
          </w:p>
        </w:tc>
      </w:tr>
    </w:tbl>
    <w:bookmarkEnd w:id="10"/>
    <w:bookmarkStart w:id="11" w:name="menselijke-interpretatie-voorstel"/>
    <w:p>
      <w:pPr>
        <w:pStyle w:val="Heading2"/>
      </w:pPr>
      <w:r>
        <w:t xml:space="preserve">Menselijke Interpretatie / Voorstel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Waarom interpretatie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“Voor Almere betekent dit dat de opgave bestuurlijk en financieel tijdig moet worden georganiseerd.”</w:t>
            </w:r>
          </w:p>
        </w:tc>
        <w:tc>
          <w:tcPr/>
          <w:p>
            <w:pPr>
              <w:pStyle w:val="Compact"/>
            </w:pPr>
            <w:r>
              <w:t xml:space="preserve">Logische bestuurlijke gevolgtrekking uit deadlines en middelenroute, maar geen bronfeit.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Doel van dit plan: opgave ordenen en basis bieden voor verdere uitwerking.</w:t>
            </w:r>
          </w:p>
        </w:tc>
        <w:tc>
          <w:tcPr/>
          <w:p>
            <w:pPr>
              <w:pStyle w:val="Compact"/>
            </w:pPr>
            <w:r>
              <w:t xml:space="preserve">Documentdoel, geen externe waarheidsclaim.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“Voor Almere ligt de opgave in het bepalen van kader, governance, middeleninzet en monitoring.”</w:t>
            </w:r>
          </w:p>
        </w:tc>
        <w:tc>
          <w:tcPr/>
          <w:p>
            <w:pPr>
              <w:pStyle w:val="Compact"/>
            </w:pPr>
            <w:r>
              <w:t xml:space="preserve">Goed verdedigbare interpretatie op basis van open besluitvragen in</w:t>
            </w:r>
            <w:r>
              <w:t xml:space="preserve"> </w:t>
            </w:r>
            <w:r>
              <w:rPr>
                <w:rStyle w:val="VerbatimChar"/>
              </w:rPr>
              <w:t xml:space="preserve">almere_current_view.json</w:t>
            </w:r>
            <w:r>
              <w:t xml:space="preserve">, maar moet als keuze-/uitwerkingspunt blijven staan.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 kernvragen over organisatie, D5, D6 en verbinding met middelen/monitoring.</w:t>
            </w:r>
          </w:p>
        </w:tc>
        <w:tc>
          <w:tcPr/>
          <w:p>
            <w:pPr>
              <w:pStyle w:val="Compact"/>
            </w:pPr>
            <w:r>
              <w:t xml:space="preserve">Passende ordening, maar door de auteur geformuleerd.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beperken tot D5 en D6.</w:t>
            </w:r>
          </w:p>
        </w:tc>
        <w:tc>
          <w:tcPr/>
          <w:p>
            <w:pPr>
              <w:pStyle w:val="Compact"/>
            </w:pPr>
            <w:r>
              <w:t xml:space="preserve">Bestuurlijke afbakening; sluit aan bij bronbasis, maar is een keuze van dit plan.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Bestuurlijke keuzes over governance, prioritering, middelenverdeling en monitoring.</w:t>
            </w:r>
          </w:p>
        </w:tc>
        <w:tc>
          <w:tcPr/>
          <w:p>
            <w:pPr>
              <w:pStyle w:val="Compact"/>
            </w:pPr>
            <w:r>
              <w:t xml:space="preserve">Bronbasis ondersteunt dat dit keuzevragen zijn; de concrete lijst is auteursordening.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Financiële ordening koppelen aan Almeerse P&amp;C-cyclus.</w:t>
            </w:r>
          </w:p>
        </w:tc>
        <w:tc>
          <w:tcPr/>
          <w:p>
            <w:pPr>
              <w:pStyle w:val="Compact"/>
            </w:pPr>
            <w:r>
              <w:t xml:space="preserve">Logische lokale consequentie, maar geen expliciete landelijke bronclaim.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 maandplanning mei-december 2026.</w:t>
            </w:r>
          </w:p>
        </w:tc>
        <w:tc>
          <w:tcPr/>
          <w:p>
            <w:pPr>
              <w:pStyle w:val="Compact"/>
            </w:pPr>
            <w:r>
              <w:t xml:space="preserve">Grotendeels interne werkplanning. Alleen externe ijkmomenten zoals 26 mei, medio september/15 november en middelenroute zijn bronvast.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Risico</w:t>
            </w:r>
            <w:r>
              <w:t xml:space="preserve"> </w:t>
            </w:r>
            <w:r>
              <w:t xml:space="preserve">“niet tijdig opleveren werkagenda”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Reëel bestuurlijk risico uit planning, maar risico-inschatting is interpretatie.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Risico</w:t>
            </w:r>
            <w:r>
              <w:t xml:space="preserve"> </w:t>
            </w:r>
            <w:r>
              <w:t xml:space="preserve">“preventieve interventies moeilijk hard kwantitatief te bewijzen”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Plausibele interpretatie bij ontwikkelagenda/bewijslast, maar niet als vastgesteld feit over Almere bronvast.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Vervolgstappen ter beoordeling.</w:t>
            </w:r>
          </w:p>
        </w:tc>
        <w:tc>
          <w:tcPr/>
          <w:p>
            <w:pPr>
              <w:pStyle w:val="Compact"/>
            </w:pPr>
            <w:r>
              <w:t xml:space="preserve">Correct als voorstel/werkagenda, niet als bronfeit.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Bijlage 2 subvragen.</w:t>
            </w:r>
          </w:p>
        </w:tc>
        <w:tc>
          <w:tcPr/>
          <w:p>
            <w:pPr>
              <w:pStyle w:val="Compact"/>
            </w:pPr>
            <w:r>
              <w:t xml:space="preserve">Goede werkvragen, maar geen toetsbare bronclaims behalve waar ze teruggrijpen op landelijke vereisten.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Contactpersonen in bijlage 4.</w:t>
            </w:r>
          </w:p>
        </w:tc>
        <w:tc>
          <w:tcPr/>
          <w:p>
            <w:pPr>
              <w:pStyle w:val="Compact"/>
            </w:pPr>
            <w:r>
              <w:t xml:space="preserve">Interne werkhypothese; de repo-bronnen onderbouwen namen/contactpersonen niet.</w:t>
            </w:r>
          </w:p>
        </w:tc>
      </w:tr>
    </w:tbl>
    <w:bookmarkEnd w:id="11"/>
    <w:bookmarkStart w:id="12" w:name="onjuist-false"/>
    <w:p>
      <w:pPr>
        <w:pStyle w:val="Heading2"/>
      </w:pPr>
      <w:r>
        <w:t xml:space="preserve">Onjuist / False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Waarom onjuist of misleidend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 de kern gaat het om onderstaande 3 kernvragen”</w:t>
            </w:r>
            <w:r>
              <w:t xml:space="preserve">, gevolgd door 4 kernvragen.</w:t>
            </w:r>
          </w:p>
        </w:tc>
        <w:tc>
          <w:tcPr/>
          <w:p>
            <w:pPr>
              <w:pStyle w:val="Compact"/>
            </w:pPr>
            <w:r>
              <w:t xml:space="preserve">Interne inconsistentie: er staan vier genummerde kernvragen.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“Het AZWA gaat over 28 onderdelen verdeeld over 5 blokken A tot en met E.”</w:t>
            </w:r>
          </w:p>
        </w:tc>
        <w:tc>
          <w:tcPr/>
          <w:p>
            <w:pPr>
              <w:pStyle w:val="Compact"/>
            </w:pPr>
            <w:r>
              <w:t xml:space="preserve">Niet ondersteund door het AZWA-akkoord zoals geteld in de inhoudsopgave. De A-E-structuur klopt, maar het aantal 28 is niet evident en lijkt niet te kloppen afhankelijk van telling van C3a/C3b.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“BMC trekt landelijk een traject…”</w:t>
            </w:r>
          </w:p>
        </w:tc>
        <w:tc>
          <w:tcPr/>
          <w:p>
            <w:pPr>
              <w:pStyle w:val="Compact"/>
            </w:pPr>
            <w:r>
              <w:t xml:space="preserve">Niet aangetroffen in de beschikbare bronbasis. Kan extern waar zijn, maar binnen deze broncheck is het niet als feit te onderbouwen. Formuleer als</w:t>
            </w:r>
            <w:r>
              <w:t xml:space="preserve"> </w:t>
            </w:r>
            <w:r>
              <w:t xml:space="preserve">“volgens interne informatie”</w:t>
            </w:r>
            <w:r>
              <w:t xml:space="preserve"> </w:t>
            </w:r>
            <w:r>
              <w:t xml:space="preserve">of verplaats naar reviewpunt.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“Berenschot helpt momenteel bij om IST naar SOLL in kaart te brengen.”</w:t>
            </w:r>
          </w:p>
        </w:tc>
        <w:tc>
          <w:tcPr/>
          <w:p>
            <w:pPr>
              <w:pStyle w:val="Compact"/>
            </w:pPr>
            <w:r>
              <w:t xml:space="preserve">Berenschot komt in AZWA/IZA wel voor bij andere onderwerpen, maar deze regionale D5-opdracht voor Almere/Flevoland is niet bronvast in de corpus.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“Regionaal brengt het Netwerkbureau in kaart…”</w:t>
            </w:r>
          </w:p>
        </w:tc>
        <w:tc>
          <w:tcPr/>
          <w:p>
            <w:pPr>
              <w:pStyle w:val="Compact"/>
            </w:pPr>
            <w:r>
              <w:t xml:space="preserve">Niet bronvast in de beschikbare repo-bronnen. Mogelijk interne actualiteit, maar niet presenteren als vastgesteld feit zonder bron.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“Transformatieprogramma en samenwerkingsafspraken lopen in ieder geval tot en met 2030.”</w:t>
            </w:r>
          </w:p>
        </w:tc>
        <w:tc>
          <w:tcPr/>
          <w:p>
            <w:pPr>
              <w:pStyle w:val="Compact"/>
            </w:pPr>
            <w:r>
              <w:t xml:space="preserve">De bronnen ondersteunen PGA/PGA-horizon 2029 en landelijke D5-dekking 2030, maar niet dat Almeerse PGA-samenwerkingsafspraken</w:t>
            </w:r>
            <w:r>
              <w:t xml:space="preserve"> </w:t>
            </w:r>
            <w:r>
              <w:t xml:space="preserve">“in ieder geval tot en met 2030”</w:t>
            </w:r>
            <w:r>
              <w:t xml:space="preserve"> </w:t>
            </w:r>
            <w:r>
              <w:t xml:space="preserve">lopen.</w:t>
            </w:r>
          </w:p>
        </w:tc>
      </w:tr>
    </w:tbl>
    <w:bookmarkEnd w:id="12"/>
    <w:bookmarkStart w:id="13" w:name="ambigu-restcategorie"/>
    <w:p>
      <w:pPr>
        <w:pStyle w:val="Heading2"/>
      </w:pPr>
      <w:r>
        <w:t xml:space="preserve">Ambigu / Restcategorie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Waarom ambigu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 Almere hebben we al veel ervaring opgedaan met de ketenaanpakken die in GALA staan en nu als opgave omgebouwd moeten worden naar basisfunctionaliteiten.”</w:t>
            </w:r>
          </w:p>
        </w:tc>
        <w:tc>
          <w:tcPr/>
          <w:p>
            <w:pPr>
              <w:pStyle w:val="Compact"/>
            </w:pPr>
            <w:r>
              <w:t xml:space="preserve">GALA/IZA-ketenaanpakken en Almere/PGA-initiatieven zijn bronvast, maar</w:t>
            </w:r>
            <w:r>
              <w:t xml:space="preserve"> </w:t>
            </w:r>
            <w:r>
              <w:t xml:space="preserve">“veel ervaring”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t xml:space="preserve">“omgebouwd moeten worden”</w:t>
            </w:r>
            <w:r>
              <w:t xml:space="preserve"> </w:t>
            </w:r>
            <w:r>
              <w:t xml:space="preserve">zijn te algemeen.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 beschikbare Almeerse stukken bieden aanknopingspunten…”</w:t>
            </w:r>
          </w:p>
        </w:tc>
        <w:tc>
          <w:tcPr/>
          <w:p>
            <w:pPr>
              <w:pStyle w:val="Compact"/>
            </w:pPr>
            <w:r>
              <w:t xml:space="preserve">Waar, maar breed en weinig toetsbaar; sommige genoemde lokale stukken zijn contextbronnen/samenvattingen, niet altijd primaire beleidsdocumenten.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“Gezonde sociale pedagogische basis.”</w:t>
            </w:r>
          </w:p>
        </w:tc>
        <w:tc>
          <w:tcPr/>
          <w:p>
            <w:pPr>
              <w:pStyle w:val="Compact"/>
            </w:pPr>
            <w:r>
              <w:t xml:space="preserve">D6-bronnen noemen gezonde, sociale en pedagogische basis, maar de tekst koppelt dit aan BMC; dat deel is niet bronvast.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“Gereedschapskist met effectieve interventies waar regio’s/gemeenten uit kunnen kiezen.”</w:t>
            </w:r>
          </w:p>
        </w:tc>
        <w:tc>
          <w:tcPr/>
          <w:p>
            <w:pPr>
              <w:pStyle w:val="Compact"/>
            </w:pPr>
            <w:r>
              <w:t xml:space="preserve">AZWA ondersteunt een dynamische gereedschapskist en aanmeld-/ontwikkelproces, maar</w:t>
            </w:r>
            <w:r>
              <w:t xml:space="preserve"> </w:t>
            </w:r>
            <w:r>
              <w:t xml:space="preserve">“effectieve interventies”</w:t>
            </w:r>
            <w:r>
              <w:t xml:space="preserve"> </w:t>
            </w:r>
            <w:r>
              <w:t xml:space="preserve">is te stellig: ook lerende/onderbouwde aanpakken kunnen erin of richting voorportaal gaan.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“AZWA-middelen op basis van vaststelling ambtshalve verstrekt.”</w:t>
            </w:r>
          </w:p>
        </w:tc>
        <w:tc>
          <w:tcPr/>
          <w:p>
            <w:pPr>
              <w:pStyle w:val="Compact"/>
            </w:pPr>
            <w:r>
              <w:t xml:space="preserve">In concept VWS-voorstel bronvast als beoogde route; markeer als voorgestelde/uitgewerkte route, niet als al juridisch definitief.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“Kern van ALV 28 november 2025 is 2% zorgbudget naar sociaal domein.”</w:t>
            </w:r>
          </w:p>
        </w:tc>
        <w:tc>
          <w:tcPr/>
          <w:p>
            <w:pPr>
              <w:pStyle w:val="Compact"/>
            </w:pPr>
            <w:r>
              <w:t xml:space="preserve">Niet aangetroffen in de huidige bronbasis. Niet als vals bewezen, maar onvoldoende onderbouwd en risicovol als kernclaim.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“December: ontvangst AZWA-middelen.”</w:t>
            </w:r>
          </w:p>
        </w:tc>
        <w:tc>
          <w:tcPr/>
          <w:p>
            <w:pPr>
              <w:pStyle w:val="Compact"/>
            </w:pPr>
            <w:r>
              <w:t xml:space="preserve">VWS zegt: als werkagenda medio november 2026 wordt aangeleverd, kan het Rijk middelen nog dit jaar uitkeren.</w:t>
            </w:r>
            <w:r>
              <w:t xml:space="preserve"> </w:t>
            </w:r>
            <w:r>
              <w:t xml:space="preserve">“December”</w:t>
            </w:r>
            <w:r>
              <w:t xml:space="preserve"> </w:t>
            </w:r>
            <w:r>
              <w:t xml:space="preserve">is dus een aannemelijke planning, geen bronvaste datum.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“Vanaf 2027 start uitvoering gekozen interventies.”</w:t>
            </w:r>
          </w:p>
        </w:tc>
        <w:tc>
          <w:tcPr/>
          <w:p>
            <w:pPr>
              <w:pStyle w:val="Compact"/>
            </w:pPr>
            <w:r>
              <w:t xml:space="preserve">Past bij start uitvoering aanvullende afspraken in 2027, maar lokale gekozen interventies hangen af van bestuurlijke besluitvorming.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“Kostenbesparing Zvw/Wlz verplicht voor onderdelen op ontwikkelagenda.”</w:t>
            </w:r>
          </w:p>
        </w:tc>
        <w:tc>
          <w:tcPr/>
          <w:p>
            <w:pPr>
              <w:pStyle w:val="Compact"/>
            </w:pPr>
            <w:r>
              <w:t xml:space="preserve">Bronnen zeggen dat structurele financiering bij ontwikkelagenda afhankelijk is van bewijslast over verwachte besparing en kabinetsbesluit.</w:t>
            </w:r>
            <w:r>
              <w:t xml:space="preserve"> </w:t>
            </w:r>
            <w:r>
              <w:t xml:space="preserve">“Verplichting”</w:t>
            </w:r>
            <w:r>
              <w:t xml:space="preserve"> </w:t>
            </w:r>
            <w:r>
              <w:t xml:space="preserve">is te hard geformuleerd.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“70% AZWA-middelen 2026 doorschuiven naar 2027 is in webinar genoemd.”</w:t>
            </w:r>
          </w:p>
        </w:tc>
        <w:tc>
          <w:tcPr/>
          <w:p>
            <w:pPr>
              <w:pStyle w:val="Compact"/>
            </w:pPr>
            <w:r>
              <w:t xml:space="preserve">Niet in beschikbare documenten gevonden; omdat de tekst zelf zegt dat documenten dit niet bevestigen, alleen opnemen als onbevestigde webinar-aantekening.</w:t>
            </w:r>
          </w:p>
        </w:tc>
      </w:tr>
    </w:tbl>
    <w:bookmarkEnd w:id="13"/>
    <w:bookmarkStart w:id="14" w:name="eindoordeel"/>
    <w:p>
      <w:pPr>
        <w:pStyle w:val="Heading2"/>
      </w:pPr>
      <w:r>
        <w:t xml:space="preserve">Eindoordeel</w:t>
      </w:r>
    </w:p>
    <w:p>
      <w:pPr>
        <w:pStyle w:val="FirstParagraph"/>
      </w:pPr>
      <w:r>
        <w:t xml:space="preserve">Als concept-plan is dit bruikbaar, maar het moet schoner labelen. Bronvaste landelijke kaders en 22-aprilinformatie zijn sterk; regionale uitvoeringsinformatie, lokale planning, ALV/2%-claim, Berenschot/BMC/Netwerkbureau en contactpersonen vragen bronverwijzing of moeten expliciet als interne werkhypothese/reviewpunt worden gemarkeerd.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2026-04-24T11:33:53Z</dcterms:created>
  <dcterms:modified xsi:type="dcterms:W3CDTF">2026-04-24T11:33:53Z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