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35" w:lineRule="auto"/>
      </w:pPr>
      <w:r>
        <w:rPr>
          <w:rFonts w:ascii="Aptos" w:hAnsi="Aptos" w:eastAsia="Aptos"/>
          <w:b/>
          <w:color w:val="173B47"/>
          <w:sz w:val="30"/>
        </w:rPr>
        <w:t>Eerste contactnotitie - D5 Ketenaanpak overgewicht en obesitas volwassenen</w:t>
      </w:r>
    </w:p>
    <w:p>
      <w:pPr>
        <w:spacing w:before="0" w:after="80" w:line="235" w:lineRule="auto"/>
      </w:pPr>
      <w:r>
        <w:rPr>
          <w:rFonts w:ascii="Aptos" w:hAnsi="Aptos" w:eastAsia="Aptos"/>
          <w:color w:val="5B656B"/>
          <w:sz w:val="20"/>
        </w:rPr>
        <w:t>Eerste afstemming voor de AZWA/D5-werkagenda</w:t>
      </w:r>
    </w:p>
    <w:p>
      <w:pPr>
        <w:spacing w:before="0" w:after="60" w:line="235" w:lineRule="auto"/>
      </w:pPr>
      <w:r>
        <w:rPr>
          <w:rFonts w:ascii="Aptos" w:hAnsi="Aptos" w:eastAsia="Aptos"/>
          <w:b/>
          <w:color w:val="173B47"/>
          <w:sz w:val="18"/>
        </w:rPr>
        <w:t xml:space="preserve">Status: </w:t>
      </w:r>
      <w:r>
        <w:rPr>
          <w:rFonts w:ascii="Aptos" w:hAnsi="Aptos" w:eastAsia="Aptos"/>
          <w:b w:val="0"/>
          <w:color w:val="1F1F1F"/>
          <w:sz w:val="18"/>
        </w:rPr>
        <w:t xml:space="preserve">concept eerste afstemming, geen definitieve werkagendapositie | </w:t>
      </w:r>
      <w:r>
        <w:rPr>
          <w:rFonts w:ascii="Aptos" w:hAnsi="Aptos" w:eastAsia="Aptos"/>
          <w:b/>
          <w:color w:val="173B47"/>
          <w:sz w:val="18"/>
        </w:rPr>
        <w:t xml:space="preserve">Hoofddatum Almere: </w:t>
      </w:r>
      <w:r>
        <w:rPr>
          <w:rFonts w:ascii="Aptos" w:hAnsi="Aptos" w:eastAsia="Aptos"/>
          <w:b w:val="0"/>
          <w:color w:val="1F1F1F"/>
          <w:sz w:val="18"/>
        </w:rPr>
        <w:t xml:space="preserve">15 september 2026 aanlevering richting regio | </w:t>
      </w:r>
      <w:r>
        <w:rPr>
          <w:rFonts w:ascii="Aptos" w:hAnsi="Aptos" w:eastAsia="Aptos"/>
          <w:b/>
          <w:color w:val="173B47"/>
          <w:sz w:val="18"/>
        </w:rPr>
        <w:t xml:space="preserve">Onderdeel: </w:t>
      </w:r>
      <w:r>
        <w:rPr>
          <w:rFonts w:ascii="Aptos" w:hAnsi="Aptos" w:eastAsia="Aptos"/>
          <w:b w:val="0"/>
          <w:color w:val="1F1F1F"/>
          <w:sz w:val="18"/>
        </w:rPr>
        <w:t>D5 basisfunctionaliteit</w:t>
      </w:r>
    </w:p>
    <w:p>
      <w:pPr>
        <w:spacing w:before="0" w:after="60" w:line="235" w:lineRule="auto"/>
        <w:shd w:fill="F6FAFB"/>
        <w:pBdr>
          <w:left w:val="single" w:sz="8" w:space="5" w:color="1F4E5F"/>
        </w:pBdr>
      </w:pPr>
      <w:r>
        <w:rPr>
          <w:rFonts w:ascii="Aptos" w:hAnsi="Aptos" w:eastAsia="Aptos"/>
          <w:b/>
          <w:color w:val="173B47"/>
          <w:sz w:val="18"/>
        </w:rPr>
        <w:t xml:space="preserve">Kern: </w:t>
      </w:r>
      <w:r>
        <w:rPr>
          <w:rFonts w:ascii="Aptos" w:hAnsi="Aptos" w:eastAsia="Aptos"/>
          <w:b w:val="0"/>
          <w:color w:val="1F1F1F"/>
          <w:sz w:val="18"/>
        </w:rPr>
        <w:t>15 september 2026 is de hoofdwerkdatum voor Almere. Huidige informatie geeft urgentie en richting, maar nog geen bevestigd beeld van GLI-capaciteit, lokale route, financiering, eigenaarschap of monitoring.</w:t>
      </w:r>
    </w:p>
    <w:p>
      <w:pPr>
        <w:keepNext/>
        <w:spacing w:before="100" w:after="20" w:line="235" w:lineRule="auto"/>
      </w:pPr>
      <w:r>
        <w:rPr>
          <w:rFonts w:ascii="Aptos" w:hAnsi="Aptos" w:eastAsia="Aptos"/>
          <w:b/>
          <w:color w:val="173B47"/>
          <w:sz w:val="22"/>
        </w:rPr>
        <w:t>Doel van deze notitie</w:t>
      </w:r>
    </w:p>
    <w:p>
      <w:pPr>
        <w:spacing w:before="0" w:after="20" w:line="235" w:lineRule="auto"/>
      </w:pPr>
      <w:r>
        <w:rPr>
          <w:rFonts w:ascii="Aptos" w:hAnsi="Aptos" w:eastAsia="Aptos"/>
          <w:sz w:val="18"/>
        </w:rPr>
        <w:t>Deze notitie is bedoeld als eerste afstemming over de ketenaanpak overgewicht en obesitas volwassenen binnen de AZWA/D5-werkagenda voor Almere. Het doel is niet om nu al alle details uit te vragen, maar om vroeg te bepalen:</w:t>
      </w:r>
    </w:p>
    <w:p>
      <w:pPr>
        <w:spacing w:after="0" w:line="235" w:lineRule="auto"/>
        <w:ind w:left="249" w:hanging="198"/>
      </w:pPr>
      <w:r>
        <w:rPr>
          <w:rFonts w:ascii="Aptos" w:hAnsi="Aptos" w:eastAsia="Aptos"/>
          <w:b/>
          <w:color w:val="173B47"/>
          <w:sz w:val="18"/>
        </w:rPr>
        <w:t xml:space="preserve">1. </w:t>
      </w:r>
      <w:r>
        <w:rPr>
          <w:rFonts w:ascii="Aptos" w:hAnsi="Aptos" w:eastAsia="Aptos"/>
          <w:sz w:val="18"/>
        </w:rPr>
        <w:t>wie bestuurlijk/ambtelijk aanspreekbaar is;</w:t>
      </w:r>
    </w:p>
    <w:p>
      <w:pPr>
        <w:spacing w:after="0" w:line="235" w:lineRule="auto"/>
        <w:ind w:left="249" w:hanging="198"/>
      </w:pPr>
      <w:r>
        <w:rPr>
          <w:rFonts w:ascii="Aptos" w:hAnsi="Aptos" w:eastAsia="Aptos"/>
          <w:b/>
          <w:color w:val="173B47"/>
          <w:sz w:val="18"/>
        </w:rPr>
        <w:t xml:space="preserve">2. </w:t>
      </w:r>
      <w:r>
        <w:rPr>
          <w:rFonts w:ascii="Aptos" w:hAnsi="Aptos" w:eastAsia="Aptos"/>
          <w:sz w:val="18"/>
        </w:rPr>
        <w:t>welke onderdelen al lokaal zijn ingericht;</w:t>
      </w:r>
    </w:p>
    <w:p>
      <w:pPr>
        <w:spacing w:after="40" w:line="235" w:lineRule="auto"/>
        <w:ind w:left="249" w:hanging="198"/>
      </w:pPr>
      <w:r>
        <w:rPr>
          <w:rFonts w:ascii="Aptos" w:hAnsi="Aptos" w:eastAsia="Aptos"/>
          <w:b/>
          <w:color w:val="173B47"/>
          <w:sz w:val="18"/>
        </w:rPr>
        <w:t xml:space="preserve">3. </w:t>
      </w:r>
      <w:r>
        <w:rPr>
          <w:rFonts w:ascii="Aptos" w:hAnsi="Aptos" w:eastAsia="Aptos"/>
          <w:sz w:val="18"/>
        </w:rPr>
        <w:t>welke besluiten of bevestigingen nodig zijn voor aanlevering richting regio.</w:t>
      </w:r>
    </w:p>
    <w:p>
      <w:pPr>
        <w:keepNext/>
        <w:spacing w:before="100" w:after="20" w:line="235" w:lineRule="auto"/>
      </w:pPr>
      <w:r>
        <w:rPr>
          <w:rFonts w:ascii="Aptos" w:hAnsi="Aptos" w:eastAsia="Aptos"/>
          <w:b/>
          <w:color w:val="173B47"/>
          <w:sz w:val="22"/>
        </w:rPr>
        <w:t>Waarom nu relevant</w:t>
      </w:r>
    </w:p>
    <w:p>
      <w:pPr>
        <w:spacing w:before="0" w:after="40" w:line="235" w:lineRule="auto"/>
      </w:pPr>
      <w:r>
        <w:rPr>
          <w:rFonts w:ascii="Aptos" w:hAnsi="Aptos" w:eastAsia="Aptos"/>
          <w:sz w:val="18"/>
        </w:rPr>
        <w:t>Binnen AZWA/D5 is deze ketenaanpak een basisfunctionaliteit. De richting gaat over samenhang tussen signalering, centrale zorgcoordinatie, beweegaanbod, gezondheidsvaardigheden/leefstijl, individuele ondersteuning en GLI.</w:t>
      </w:r>
    </w:p>
    <w:p>
      <w:pPr>
        <w:spacing w:before="0" w:after="40" w:line="235" w:lineRule="auto"/>
      </w:pPr>
      <w:r>
        <w:rPr>
          <w:rFonts w:ascii="Aptos" w:hAnsi="Aptos" w:eastAsia="Aptos"/>
          <w:sz w:val="18"/>
        </w:rPr>
        <w:t>De huidige informatie bevat publieke Almere-indicatoren uit het GGD-tabellenboek volwassenen 2024: 37% matig overgewicht bij 18-64 jaar, 21% ernstig overgewicht/obesitas en 47% voldoet aan de beweegrichtlijn. Deze cijfers onderbouwen urgentie, maar bevestigen nog geen lokale capaciteit, aanbod of financiering.</w:t>
      </w:r>
    </w:p>
    <w:p>
      <w:pPr>
        <w:keepNext/>
        <w:spacing w:before="100" w:after="20" w:line="235" w:lineRule="auto"/>
      </w:pPr>
      <w:r>
        <w:rPr>
          <w:rFonts w:ascii="Aptos" w:hAnsi="Aptos" w:eastAsia="Aptos"/>
          <w:b/>
          <w:color w:val="173B47"/>
          <w:sz w:val="22"/>
        </w:rPr>
        <w:t>Huidige situatie in het kort</w:t>
      </w:r>
    </w:p>
    <w:p>
      <w:pPr>
        <w:spacing w:after="0" w:line="235" w:lineRule="auto"/>
        <w:ind w:left="215" w:hanging="159"/>
      </w:pPr>
      <w:r>
        <w:rPr>
          <w:rFonts w:ascii="Aptos" w:hAnsi="Aptos" w:eastAsia="Aptos"/>
          <w:b/>
          <w:color w:val="173B47"/>
          <w:sz w:val="18"/>
        </w:rPr>
        <w:t xml:space="preserve">- </w:t>
      </w:r>
      <w:r>
        <w:rPr>
          <w:rFonts w:ascii="Aptos" w:hAnsi="Aptos" w:eastAsia="Aptos"/>
          <w:sz w:val="18"/>
        </w:rPr>
        <w:t>Zichtbaar: publieke indicatoren over overgewicht, obesitas en bewegen; landelijke D5-richting voor GLI en leefstijl; samenhang met sociaal verwijzen, valpreventie en mogelijke D6-infrastructuur.</w:t>
      </w:r>
    </w:p>
    <w:p>
      <w:pPr>
        <w:spacing w:after="40" w:line="235" w:lineRule="auto"/>
        <w:ind w:left="215" w:hanging="159"/>
      </w:pPr>
      <w:r>
        <w:rPr>
          <w:rFonts w:ascii="Aptos" w:hAnsi="Aptos" w:eastAsia="Aptos"/>
          <w:b/>
          <w:color w:val="173B47"/>
          <w:sz w:val="18"/>
        </w:rPr>
        <w:t xml:space="preserve">- </w:t>
      </w:r>
      <w:r>
        <w:rPr>
          <w:rFonts w:ascii="Aptos" w:hAnsi="Aptos" w:eastAsia="Aptos"/>
          <w:sz w:val="18"/>
        </w:rPr>
        <w:t>Nog niet bevestigd: GLI-capaciteit, leefstijl- en beweegaanbod, centrale zorgcoordinatie, wijkspreiding, wachttijden en financieringsmix tussen Zvw, gemeente, GALA en/of PGA.</w:t>
      </w:r>
    </w:p>
    <w:p>
      <w:pPr>
        <w:keepNext/>
        <w:spacing w:before="100" w:after="20" w:line="235" w:lineRule="auto"/>
      </w:pPr>
      <w:r>
        <w:rPr>
          <w:rFonts w:ascii="Aptos" w:hAnsi="Aptos" w:eastAsia="Aptos"/>
          <w:b/>
          <w:color w:val="173B47"/>
          <w:sz w:val="22"/>
        </w:rPr>
        <w:t>Vroeg duidelijk krijgen</w:t>
      </w:r>
    </w:p>
    <w:p>
      <w:pPr>
        <w:keepNext/>
        <w:spacing w:before="40" w:after="0" w:line="235" w:lineRule="auto"/>
      </w:pPr>
      <w:r>
        <w:rPr>
          <w:rFonts w:ascii="Aptos" w:hAnsi="Aptos" w:eastAsia="Aptos"/>
          <w:b/>
          <w:color w:val="1F4E5F"/>
          <w:sz w:val="16"/>
        </w:rPr>
        <w:t>EIGENAARSCHAP</w:t>
      </w:r>
    </w:p>
    <w:p>
      <w:pPr>
        <w:spacing w:before="0" w:after="20" w:line="235" w:lineRule="auto"/>
      </w:pPr>
      <w:r>
        <w:rPr>
          <w:rFonts w:ascii="Aptos" w:hAnsi="Aptos" w:eastAsia="Aptos"/>
          <w:sz w:val="18"/>
        </w:rPr>
        <w:t>Wie brengt gemeente, zorgverzekeraar, eerstelijn, leefstijlcoaches, beweegaanbieders en sociaal domein aan tafel?</w:t>
      </w:r>
    </w:p>
    <w:p>
      <w:pPr>
        <w:keepNext/>
        <w:spacing w:before="40" w:after="0" w:line="235" w:lineRule="auto"/>
      </w:pPr>
      <w:r>
        <w:rPr>
          <w:rFonts w:ascii="Aptos" w:hAnsi="Aptos" w:eastAsia="Aptos"/>
          <w:b/>
          <w:color w:val="1F4E5F"/>
          <w:sz w:val="16"/>
        </w:rPr>
        <w:t>LOKALE ROUTE EN CAPACITEIT</w:t>
      </w:r>
    </w:p>
    <w:p>
      <w:pPr>
        <w:spacing w:before="0" w:after="20" w:line="235" w:lineRule="auto"/>
      </w:pPr>
      <w:r>
        <w:rPr>
          <w:rFonts w:ascii="Aptos" w:hAnsi="Aptos" w:eastAsia="Aptos"/>
          <w:sz w:val="18"/>
        </w:rPr>
        <w:t>Welke GLI-capaciteit bestaat, hoe is het leefstijl- en beweegaanbod georganiseerd, en waar zitten wachttijden of wijkkeuzes?</w:t>
      </w:r>
    </w:p>
    <w:p>
      <w:pPr>
        <w:keepNext/>
        <w:spacing w:before="40" w:after="0" w:line="235" w:lineRule="auto"/>
      </w:pPr>
      <w:r>
        <w:rPr>
          <w:rFonts w:ascii="Aptos" w:hAnsi="Aptos" w:eastAsia="Aptos"/>
          <w:b/>
          <w:color w:val="1F4E5F"/>
          <w:sz w:val="16"/>
        </w:rPr>
        <w:t>CENTRALE ZORGCOORDINATIE</w:t>
      </w:r>
    </w:p>
    <w:p>
      <w:pPr>
        <w:spacing w:before="0" w:after="20" w:line="235" w:lineRule="auto"/>
      </w:pPr>
      <w:r>
        <w:rPr>
          <w:rFonts w:ascii="Aptos" w:hAnsi="Aptos" w:eastAsia="Aptos"/>
          <w:sz w:val="18"/>
        </w:rPr>
        <w:t>Is er een centrale zorgcoordinator of vergelijkbare functie, en wie organiseert en financiert die rol?</w:t>
      </w:r>
    </w:p>
    <w:p>
      <w:pPr>
        <w:keepNext/>
        <w:spacing w:before="40" w:after="0" w:line="235" w:lineRule="auto"/>
      </w:pPr>
      <w:r>
        <w:rPr>
          <w:rFonts w:ascii="Aptos" w:hAnsi="Aptos" w:eastAsia="Aptos"/>
          <w:b/>
          <w:color w:val="1F4E5F"/>
          <w:sz w:val="16"/>
        </w:rPr>
        <w:t>FINANCIERING EN MONITORING</w:t>
      </w:r>
    </w:p>
    <w:p>
      <w:pPr>
        <w:spacing w:before="0" w:after="20" w:line="235" w:lineRule="auto"/>
      </w:pPr>
      <w:r>
        <w:rPr>
          <w:rFonts w:ascii="Aptos" w:hAnsi="Aptos" w:eastAsia="Aptos"/>
          <w:sz w:val="18"/>
        </w:rPr>
        <w:t>Welke route geldt voor Zvw, gemeentelijke middelen, GALA/PGA, en welke indicatoren zijn bestuurlijk bruikbaar?</w:t>
      </w:r>
    </w:p>
    <w:p>
      <w:pPr>
        <w:keepNext/>
        <w:spacing w:before="40" w:after="0" w:line="235" w:lineRule="auto"/>
      </w:pPr>
      <w:r>
        <w:rPr>
          <w:rFonts w:ascii="Aptos" w:hAnsi="Aptos" w:eastAsia="Aptos"/>
          <w:b/>
          <w:color w:val="1F4E5F"/>
          <w:sz w:val="16"/>
        </w:rPr>
        <w:t>BESLUITVORMING 15 SEPTEMBER</w:t>
      </w:r>
    </w:p>
    <w:p>
      <w:pPr>
        <w:spacing w:before="0" w:after="20" w:line="235" w:lineRule="auto"/>
      </w:pPr>
      <w:r>
        <w:rPr>
          <w:rFonts w:ascii="Aptos" w:hAnsi="Aptos" w:eastAsia="Aptos"/>
          <w:sz w:val="18"/>
        </w:rPr>
        <w:t>Wat kan bevestigd mee, en wat moet als beslispunt of onzekerheid richting regio worden benoemd?</w:t>
      </w:r>
    </w:p>
    <w:p>
      <w:pPr>
        <w:keepNext/>
        <w:spacing w:before="100" w:after="20" w:line="235" w:lineRule="auto"/>
      </w:pPr>
      <w:r>
        <w:rPr>
          <w:rFonts w:ascii="Aptos" w:hAnsi="Aptos" w:eastAsia="Aptos"/>
          <w:b/>
          <w:color w:val="173B47"/>
          <w:sz w:val="22"/>
        </w:rPr>
        <w:t>Wat vragen we nu nog niet?</w:t>
      </w:r>
    </w:p>
    <w:p>
      <w:pPr>
        <w:spacing w:before="0" w:after="40" w:line="235" w:lineRule="auto"/>
      </w:pPr>
      <w:r>
        <w:rPr>
          <w:rFonts w:ascii="Aptos" w:hAnsi="Aptos" w:eastAsia="Aptos"/>
          <w:sz w:val="18"/>
        </w:rPr>
        <w:t>Nog niet nodig: volledige capaciteitsberekening, volledig financieel overzicht, complete partner-matrix, uitgewerkte monitoringmethodiek of definitieve werkagendatekst. Wel nodig: aanspreekpunt, hoofdlijnstatus, bekende blokkades, bestaande documenten/besluiten en logische vervolgstap.</w:t>
      </w:r>
    </w:p>
    <w:p>
      <w:pPr>
        <w:keepNext/>
        <w:spacing w:before="100" w:after="20" w:line="235" w:lineRule="auto"/>
      </w:pPr>
      <w:r>
        <w:rPr>
          <w:rFonts w:ascii="Aptos" w:hAnsi="Aptos" w:eastAsia="Aptos"/>
          <w:b/>
          <w:color w:val="173B47"/>
          <w:sz w:val="22"/>
        </w:rPr>
        <w:t>Voorgestelde eerste reactie</w:t>
      </w:r>
    </w:p>
    <w:p>
      <w:pPr>
        <w:spacing w:after="0" w:line="235" w:lineRule="auto"/>
        <w:ind w:left="249" w:hanging="198"/>
      </w:pPr>
      <w:r>
        <w:rPr>
          <w:rFonts w:ascii="Aptos" w:hAnsi="Aptos" w:eastAsia="Aptos"/>
          <w:b/>
          <w:color w:val="173B47"/>
          <w:sz w:val="18"/>
        </w:rPr>
        <w:t xml:space="preserve">1. </w:t>
      </w:r>
      <w:r>
        <w:rPr>
          <w:rFonts w:ascii="Aptos" w:hAnsi="Aptos" w:eastAsia="Aptos"/>
          <w:sz w:val="18"/>
        </w:rPr>
        <w:t>Wie is ambtelijk aanspreekpunt voor deze ketenaanpak binnen AZWA/D5?</w:t>
      </w:r>
    </w:p>
    <w:p>
      <w:pPr>
        <w:spacing w:after="0" w:line="235" w:lineRule="auto"/>
        <w:ind w:left="249" w:hanging="198"/>
      </w:pPr>
      <w:r>
        <w:rPr>
          <w:rFonts w:ascii="Aptos" w:hAnsi="Aptos" w:eastAsia="Aptos"/>
          <w:b/>
          <w:color w:val="173B47"/>
          <w:sz w:val="18"/>
        </w:rPr>
        <w:t xml:space="preserve">2. </w:t>
      </w:r>
      <w:r>
        <w:rPr>
          <w:rFonts w:ascii="Aptos" w:hAnsi="Aptos" w:eastAsia="Aptos"/>
          <w:sz w:val="18"/>
        </w:rPr>
        <w:t>Is er al een lokale route voor GLI, leefstijl- en beweegaanbod voor volwassenen?</w:t>
      </w:r>
    </w:p>
    <w:p>
      <w:pPr>
        <w:spacing w:after="0" w:line="235" w:lineRule="auto"/>
        <w:ind w:left="249" w:hanging="198"/>
      </w:pPr>
      <w:r>
        <w:rPr>
          <w:rFonts w:ascii="Aptos" w:hAnsi="Aptos" w:eastAsia="Aptos"/>
          <w:b/>
          <w:color w:val="173B47"/>
          <w:sz w:val="18"/>
        </w:rPr>
        <w:t xml:space="preserve">3. </w:t>
      </w:r>
      <w:r>
        <w:rPr>
          <w:rFonts w:ascii="Aptos" w:hAnsi="Aptos" w:eastAsia="Aptos"/>
          <w:sz w:val="18"/>
        </w:rPr>
        <w:t>Wie kan GLI-capaciteit, aanbieders, wachttijden en wijkspreiding bevestigen?</w:t>
      </w:r>
    </w:p>
    <w:p>
      <w:pPr>
        <w:spacing w:after="0" w:line="235" w:lineRule="auto"/>
        <w:ind w:left="249" w:hanging="198"/>
      </w:pPr>
      <w:r>
        <w:rPr>
          <w:rFonts w:ascii="Aptos" w:hAnsi="Aptos" w:eastAsia="Aptos"/>
          <w:b/>
          <w:color w:val="173B47"/>
          <w:sz w:val="18"/>
        </w:rPr>
        <w:t xml:space="preserve">4. </w:t>
      </w:r>
      <w:r>
        <w:rPr>
          <w:rFonts w:ascii="Aptos" w:hAnsi="Aptos" w:eastAsia="Aptos"/>
          <w:sz w:val="18"/>
        </w:rPr>
        <w:t>Wie kan financieringsroute en rolverdeling met zorgverzekeraar en gemeente valideren?</w:t>
      </w:r>
    </w:p>
    <w:p>
      <w:pPr>
        <w:spacing w:after="0" w:line="235" w:lineRule="auto"/>
        <w:ind w:left="249" w:hanging="198"/>
      </w:pPr>
      <w:r>
        <w:rPr>
          <w:rFonts w:ascii="Aptos" w:hAnsi="Aptos" w:eastAsia="Aptos"/>
          <w:b/>
          <w:color w:val="173B47"/>
          <w:sz w:val="18"/>
        </w:rPr>
        <w:t xml:space="preserve">5. </w:t>
      </w:r>
      <w:r>
        <w:rPr>
          <w:rFonts w:ascii="Aptos" w:hAnsi="Aptos" w:eastAsia="Aptos"/>
          <w:sz w:val="18"/>
        </w:rPr>
        <w:t>Is er al een bestuurlijk besluit of prioritering richting 2027-2030?</w:t>
      </w:r>
    </w:p>
    <w:p>
      <w:pPr>
        <w:keepNext/>
        <w:spacing w:before="100" w:after="20" w:line="235" w:lineRule="auto"/>
      </w:pPr>
      <w:r>
        <w:rPr>
          <w:rFonts w:ascii="Aptos" w:hAnsi="Aptos" w:eastAsia="Aptos"/>
          <w:b/>
          <w:color w:val="173B47"/>
          <w:sz w:val="22"/>
        </w:rPr>
        <w:t>Minimale aanlevering op 15 september</w:t>
      </w:r>
    </w:p>
    <w:p>
      <w:pPr>
        <w:spacing w:before="0" w:after="40" w:line="235" w:lineRule="auto"/>
        <w:shd w:fill="F6FAFB"/>
        <w:pBdr>
          <w:left w:val="single" w:sz="8" w:space="5" w:color="1F4E5F"/>
        </w:pBdr>
      </w:pPr>
      <w:r>
        <w:rPr>
          <w:rFonts w:ascii="Aptos" w:hAnsi="Aptos" w:eastAsia="Aptos"/>
          <w:b/>
          <w:color w:val="173B47"/>
          <w:sz w:val="18"/>
        </w:rPr>
        <w:t xml:space="preserve">Werkconclusie: </w:t>
      </w:r>
      <w:r>
        <w:rPr>
          <w:rFonts w:ascii="Aptos" w:hAnsi="Aptos" w:eastAsia="Aptos"/>
          <w:b w:val="0"/>
          <w:color w:val="1F1F1F"/>
          <w:sz w:val="18"/>
        </w:rPr>
        <w:t>de ketenaanpak kan als conceptinput richting regio, maar alleen met expliciete onzekerheden. Minimaal nodig zijn een aanspreekpunt, hoofdlijnstatus, zicht op GLI/leefstijlcapaciteit, financieringsroute, monitoringafspraak en besluitpunten.</w:t>
      </w:r>
    </w:p>
    <w:p>
      <w:pPr>
        <w:keepNext/>
        <w:spacing w:before="100" w:after="20" w:line="235" w:lineRule="auto"/>
      </w:pPr>
      <w:r>
        <w:rPr>
          <w:rFonts w:ascii="Aptos" w:hAnsi="Aptos" w:eastAsia="Aptos"/>
          <w:b/>
          <w:color w:val="173B47"/>
          <w:sz w:val="22"/>
        </w:rPr>
        <w:t>Gebruikte informatie</w:t>
      </w:r>
    </w:p>
    <w:p>
      <w:pPr>
        <w:spacing w:after="0" w:line="235" w:lineRule="auto"/>
        <w:ind w:left="215" w:hanging="159"/>
      </w:pPr>
      <w:r>
        <w:rPr>
          <w:rFonts w:ascii="Aptos" w:hAnsi="Aptos" w:eastAsia="Aptos"/>
          <w:b/>
          <w:color w:val="173B47"/>
          <w:sz w:val="18"/>
        </w:rPr>
        <w:t xml:space="preserve">- </w:t>
      </w:r>
      <w:r>
        <w:rPr>
          <w:rFonts w:ascii="Aptos" w:hAnsi="Aptos" w:eastAsia="Aptos"/>
          <w:sz w:val="18"/>
        </w:rPr>
        <w:t>Landelijke AZWA/D5-informatie: ketenaanpak volwassenen als basisfunctionaliteit en richting voor GLI, leefstijl, beweegaanbod en centrale zorgcoordinatie.</w:t>
      </w:r>
    </w:p>
    <w:p>
      <w:pPr>
        <w:spacing w:after="0" w:line="235" w:lineRule="auto"/>
        <w:ind w:left="215" w:hanging="159"/>
      </w:pPr>
      <w:r>
        <w:rPr>
          <w:rFonts w:ascii="Aptos" w:hAnsi="Aptos" w:eastAsia="Aptos"/>
          <w:b/>
          <w:color w:val="173B47"/>
          <w:sz w:val="18"/>
        </w:rPr>
        <w:t xml:space="preserve">- </w:t>
      </w:r>
      <w:r>
        <w:rPr>
          <w:rFonts w:ascii="Aptos" w:hAnsi="Aptos" w:eastAsia="Aptos"/>
          <w:sz w:val="18"/>
        </w:rPr>
        <w:t>GGD Flevoland Tabellenboek volwassenen 2024 - gemeenten: publieke Almere-indicatoren voor matig overgewicht, obesitas en beweegrichtlijn.</w:t>
      </w:r>
    </w:p>
    <w:p>
      <w:pPr>
        <w:spacing w:after="0" w:line="235" w:lineRule="auto"/>
        <w:ind w:left="215" w:hanging="159"/>
      </w:pPr>
      <w:r>
        <w:rPr>
          <w:rFonts w:ascii="Aptos" w:hAnsi="Aptos" w:eastAsia="Aptos"/>
          <w:b/>
          <w:color w:val="173B47"/>
          <w:sz w:val="18"/>
        </w:rPr>
        <w:t xml:space="preserve">- </w:t>
      </w:r>
      <w:r>
        <w:rPr>
          <w:rFonts w:ascii="Aptos" w:hAnsi="Aptos" w:eastAsia="Aptos"/>
          <w:sz w:val="18"/>
        </w:rPr>
        <w:t>Almere conceptinformatie: capaciteit, eigenaarschap, financiering en monitoring zijn nog niet bevestigd.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95" w:right="765" w:bottom="56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35" w:lineRule="auto"/>
    </w:pPr>
    <w:rPr>
      <w:rFonts w:ascii="Aptos" w:hAnsi="Aptos" w:eastAsia="Aptos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Eerste contactnotitie D5 Ketenaanpak overgewicht en obesitas volwassenen</dc:title>
  <dc:subject>AZWA/D5-werkagenda, eerste afstemming</dc:subject>
  <dc:creator>Codex voor Gemeente Almere</dc:creator>
  <cp:keywords/>
  <dc:description>Conceptdocument voor eerste beleidsmatige afstemming; 15 september 2026 is de gemeentelijke aanleverdatum richting regio.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