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none"/>
              <w:left w:val="none"/>
              <w:bottom w:val="none"/>
              <w:right w:val="none"/>
            </w:tcBorders>
            <w:shd w:fill="1E8449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Concurreren met zekerheid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CE Economie 2025 – Opgave 2</w:t>
            </w:r>
          </w:p>
        </w:tc>
      </w:tr>
    </w:tbl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Pensioenstelsels en dekkingsgraad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🔄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Omslagstelsel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Werkenden → gepensioneerden (intergenerationele ruil)</w:t>
            </w:r>
          </w:p>
        </w:tc>
        <w:tc>
          <w:tcPr>
            <w:tcW w:type="dxa" w:w="3488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Kapitaaldekking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Eigen spaarpot, geen generatie-uitwisseling</w:t>
            </w:r>
          </w:p>
        </w:tc>
        <w:tc>
          <w:tcPr>
            <w:tcW w:type="dxa" w:w="3490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📈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Dekkingsgraad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Vermogen / CW verplichtingen × 100%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D3748"/>
                <w:sz w:val="20"/>
                <w:szCs w:val="20"/>
              </w:rPr>
              <w:t xml:space="preserve">CW = 450 mld / (1,02)^25 = 274,3 mld → DG = 322,8/274,3 = 117,7%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Redeneerketen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Inflatie → CB verhoogt rente → CW verplichtingen daalt → dekkingsgraad stijgt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gridSpan w:val="1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Onthoud: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Bereken EERST het huidige vermogen uit de oude dekkingsgraad. Vergeet de conclusie niet (&gt;100% = betaalbaar).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2026-03-26T17:30:22.453Z</dcterms:created>
  <dcterms:modified xsi:type="dcterms:W3CDTF">2026-03-26T17:30:22.453Z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