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none"/>
              <w:left w:val="none"/>
              <w:bottom w:val="none"/>
              <w:right w:val="none"/>
            </w:tcBorders>
            <w:shd w:fill="17A2B8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Eilanden verbonden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CE Economie 2025 – Opgave 4</w:t>
            </w:r>
          </w:p>
        </w:tc>
      </w:tr>
    </w:tbl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7A2B8"/>
          <w:sz w:val="26"/>
          <w:szCs w:val="26"/>
        </w:rPr>
        <w:t xml:space="preserve">Internationale handel en wisselkoersen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17A2B8" w:sz="1"/>
              <w:left w:val="single" w:color="17A2B8" w:sz="1"/>
              <w:bottom w:val="single" w:color="17A2B8" w:sz="1"/>
              <w:right w:val="single" w:color="17A2B8" w:sz="1"/>
            </w:tcBorders>
            <w:shd w:fill="E8F8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7A2B8"/>
                <w:sz w:val="22"/>
                <w:szCs w:val="22"/>
              </w:rPr>
              <w:t xml:space="preserve">👷  </w:t>
            </w:r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AIQ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Arbeidsinkomen / Y = 3,12/5,45 = 57,2%</w:t>
            </w:r>
          </w:p>
        </w:tc>
        <w:tc>
          <w:tcPr>
            <w:tcW w:type="dxa" w:w="3488"/>
            <w:gridSpan w:val="1"/>
            <w:tcBorders>
              <w:top w:val="single" w:color="17A2B8" w:sz="1"/>
              <w:left w:val="single" w:color="17A2B8" w:sz="1"/>
              <w:bottom w:val="single" w:color="17A2B8" w:sz="1"/>
              <w:right w:val="single" w:color="17A2B8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7A2B8"/>
                <w:sz w:val="22"/>
                <w:szCs w:val="22"/>
              </w:rPr>
              <w:t xml:space="preserve">🏛  </w:t>
            </w:r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Overheidssaldo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(S–I) + (B–O) = (E–M) → tekort 74 mln</w:t>
            </w:r>
          </w:p>
        </w:tc>
        <w:tc>
          <w:tcPr>
            <w:tcW w:type="dxa" w:w="3490"/>
            <w:gridSpan w:val="1"/>
            <w:tcBorders>
              <w:top w:val="single" w:color="17A2B8" w:sz="1"/>
              <w:left w:val="single" w:color="17A2B8" w:sz="1"/>
              <w:bottom w:val="single" w:color="17A2B8" w:sz="1"/>
              <w:right w:val="single" w:color="17A2B8" w:sz="1"/>
            </w:tcBorders>
            <w:shd w:fill="E8F8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7A2B8"/>
                <w:sz w:val="22"/>
                <w:szCs w:val="22"/>
              </w:rPr>
              <w:t xml:space="preserve">💱  </w:t>
            </w:r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Wisselkoers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Rente daalt → munt deprecieert → handel verandert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BD5E0" w:sz="1"/>
              <w:left w:val="single" w:color="17A2B8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3748"/>
                <w:sz w:val="20"/>
                <w:szCs w:val="20"/>
              </w:rPr>
              <w:t xml:space="preserve">(664–1.200) + (B–O) = (250–860) → B–O = –74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7A2B8" w:sz="1"/>
              <w:left w:val="single" w:color="17A2B8" w:sz="1"/>
              <w:bottom w:val="single" w:color="17A2B8" w:sz="1"/>
              <w:right w:val="single" w:color="17A2B8" w:sz="1"/>
            </w:tcBorders>
            <w:shd w:fill="E8F8FB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7A2B8"/>
                <w:sz w:val="18"/>
                <w:szCs w:val="18"/>
              </w:rPr>
              <w:t xml:space="preserve">Redeneerketen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Loonkosten stijgen → GA Curaçao links → inflatie stijgt → GA Aruba links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Onthoud: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Verschuiving VAN de curve (niet langs). De wisselkoers is het transmissiekanaal bij monetair beleid.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2026-03-26T17:30:22.472Z</dcterms:created>
  <dcterms:modified xsi:type="dcterms:W3CDTF">2026-03-26T17:30:22.472Z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