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2761"/>
          <w:sz w:val="28"/>
          <w:szCs w:val="28"/>
        </w:rPr>
        <w:t xml:space="preserve">CBS: groen bbp Nederland daalt ondanks economische groei</w:t>
      </w:r>
    </w:p>
    <w:p>
      <w:pPr>
        <w:spacing w:after="100"/>
      </w:pPr>
      <w:r>
        <w:rPr>
          <w:rFonts w:ascii="Arial" w:cs="Arial" w:eastAsia="Arial" w:hAnsi="Arial"/>
          <w:i/>
          <w:iCs/>
          <w:color w:val="718096"/>
          <w:sz w:val="18"/>
          <w:szCs w:val="18"/>
        </w:rPr>
        <w:t xml:space="preserve">Bron: CBS.nl, december 2025</w:t>
      </w:r>
    </w:p>
    <w:p>
      <w:pPr>
        <w:spacing w:after="80"/>
      </w:pPr>
      <w:r>
        <w:rPr>
          <w:rFonts w:ascii="Arial" w:cs="Arial" w:eastAsia="Arial" w:hAnsi="Arial"/>
          <w:color w:val="2D3748"/>
          <w:sz w:val="21"/>
          <w:szCs w:val="21"/>
        </w:rPr>
        <w:t xml:space="preserve">Het Centraal Bureau voor de Statistiek meldt dat het reguliere bbp in 2025 met 1,8% groeide, maar het groen bbp — gecorrigeerd voor milieuschade — daalde met 0,3%. De milieuschade door CO₂-uitstoot en biodiversiteitsverlies overtrof de economische groei. Milieuorganisaties pleiten voor een beleid dat het groen bbp centraal stelt. Het kabinet erkent het probleem maar wijst op de werkgelegenheidseffecten van economische groei.</w:t>
      </w:r>
    </w:p>
    <w:p>
      <w:pPr>
        <w:spacing w:after="40"/>
      </w:pPr>
    </w:p>
    <w:p>
      <w:pPr>
        <w:spacing w:after="80"/>
      </w:pPr>
      <w:r>
        <w:drawing>
          <wp:inline distT="0" distB="0" distL="0" distR="0">
            <wp:extent cx="209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762250"/>
                    </a:xfrm>
                    <a:prstGeom prst="rect">
                      <a:avLst/>
                    </a:prstGeom>
                  </pic:spPr>
                </pic:pic>
              </a:graphicData>
            </a:graphic>
          </wp:inline>
        </w:drawing>
      </w:r>
    </w:p>
    <w:p>
      <w:pPr>
        <w:spacing w:after="40"/>
      </w:pPr>
    </w:p>
    <w:p>
      <w:pPr>
        <w:spacing w:after="60"/>
      </w:pPr>
      <w:r>
        <w:rPr>
          <w:rFonts w:ascii="Arial" w:cs="Arial" w:eastAsia="Arial" w:hAnsi="Arial"/>
          <w:b/>
          <w:bCs/>
          <w:color w:val="1E2761"/>
          <w:sz w:val="24"/>
          <w:szCs w:val="24"/>
        </w:rPr>
        <w:t xml:space="preserve">Vragen</w:t>
      </w:r>
    </w:p>
    <w:p>
      <w:pPr>
        <w:spacing w:after="50"/>
      </w:pPr>
      <w:r>
        <w:rPr>
          <w:rFonts w:ascii="Arial" w:cs="Arial" w:eastAsia="Arial" w:hAnsi="Arial"/>
          <w:b/>
          <w:bCs/>
          <w:color w:val="1E2761"/>
          <w:sz w:val="21"/>
          <w:szCs w:val="21"/>
        </w:rPr>
        <w:t xml:space="preserve">1.  </w:t>
      </w:r>
      <w:r>
        <w:rPr>
          <w:rFonts w:ascii="Arial" w:cs="Arial" w:eastAsia="Arial" w:hAnsi="Arial"/>
          <w:color w:val="2D3748"/>
          <w:sz w:val="21"/>
          <w:szCs w:val="21"/>
        </w:rPr>
        <w:t xml:space="preserve">Het reguliere bbp is in 2025 gestegen / gedaald.</w:t>
      </w:r>
    </w:p>
    <w:p>
      <w:pPr>
        <w:spacing w:after="50"/>
      </w:pPr>
      <w:r>
        <w:rPr>
          <w:rFonts w:ascii="Arial" w:cs="Arial" w:eastAsia="Arial" w:hAnsi="Arial"/>
          <w:b/>
          <w:bCs/>
          <w:color w:val="1E2761"/>
          <w:sz w:val="21"/>
          <w:szCs w:val="21"/>
        </w:rPr>
        <w:t xml:space="preserve">2.  </w:t>
      </w:r>
      <w:r>
        <w:rPr>
          <w:rFonts w:ascii="Arial" w:cs="Arial" w:eastAsia="Arial" w:hAnsi="Arial"/>
          <w:color w:val="2D3748"/>
          <w:sz w:val="21"/>
          <w:szCs w:val="21"/>
        </w:rPr>
        <w:t xml:space="preserve">Het groen bbp is lager / hoger dan het reguliere bbp.</w:t>
      </w:r>
    </w:p>
    <w:p>
      <w:pPr>
        <w:spacing w:after="50"/>
      </w:pPr>
      <w:r>
        <w:rPr>
          <w:rFonts w:ascii="Arial" w:cs="Arial" w:eastAsia="Arial" w:hAnsi="Arial"/>
          <w:b/>
          <w:bCs/>
          <w:color w:val="1E2761"/>
          <w:sz w:val="21"/>
          <w:szCs w:val="21"/>
        </w:rPr>
        <w:t xml:space="preserve">3.  </w:t>
      </w:r>
      <w:r>
        <w:rPr>
          <w:rFonts w:ascii="Arial" w:cs="Arial" w:eastAsia="Arial" w:hAnsi="Arial"/>
          <w:color w:val="2D3748"/>
          <w:sz w:val="21"/>
          <w:szCs w:val="21"/>
        </w:rPr>
        <w:t xml:space="preserve">Noem twee vormen van milieuschade die in het artikel worden genoemd.</w:t>
      </w:r>
    </w:p>
    <w:p>
      <w:pPr>
        <w:spacing w:after="50"/>
      </w:pPr>
      <w:r>
        <w:rPr>
          <w:rFonts w:ascii="Arial" w:cs="Arial" w:eastAsia="Arial" w:hAnsi="Arial"/>
          <w:b/>
          <w:bCs/>
          <w:color w:val="1E2761"/>
          <w:sz w:val="21"/>
          <w:szCs w:val="21"/>
        </w:rPr>
        <w:t xml:space="preserve">4.  </w:t>
      </w:r>
      <w:r>
        <w:rPr>
          <w:rFonts w:ascii="Arial" w:cs="Arial" w:eastAsia="Arial" w:hAnsi="Arial"/>
          <w:color w:val="2D3748"/>
          <w:sz w:val="21"/>
          <w:szCs w:val="21"/>
        </w:rPr>
        <w:t xml:space="preserve">Als het bbp €900 miljard is en met 1,8% groeit, hoeveel is de groei in euro’s?</w:t>
      </w:r>
    </w:p>
    <w:p>
      <w:pPr>
        <w:spacing w:after="50"/>
      </w:pPr>
      <w:r>
        <w:rPr>
          <w:rFonts w:ascii="Arial" w:cs="Arial" w:eastAsia="Arial" w:hAnsi="Arial"/>
          <w:b/>
          <w:bCs/>
          <w:color w:val="1E2761"/>
          <w:sz w:val="21"/>
          <w:szCs w:val="21"/>
        </w:rPr>
        <w:t xml:space="preserve">5.  </w:t>
      </w:r>
      <w:r>
        <w:rPr>
          <w:rFonts w:ascii="Arial" w:cs="Arial" w:eastAsia="Arial" w:hAnsi="Arial"/>
          <w:color w:val="2D3748"/>
          <w:sz w:val="21"/>
          <w:szCs w:val="21"/>
        </w:rPr>
        <w:t xml:space="preserve">Bekijk de grafiek. Wat valt op aan het verschil tussen bbp en groen bbp?</w:t>
      </w:r>
    </w:p>
    <w:p>
      <w:pPr>
        <w:spacing w:after="50"/>
      </w:pPr>
      <w:r>
        <w:rPr>
          <w:rFonts w:ascii="Arial" w:cs="Arial" w:eastAsia="Arial" w:hAnsi="Arial"/>
          <w:b/>
          <w:bCs/>
          <w:color w:val="1E2761"/>
          <w:sz w:val="21"/>
          <w:szCs w:val="21"/>
        </w:rPr>
        <w:t xml:space="preserve">6.  </w:t>
      </w:r>
      <w:r>
        <w:rPr>
          <w:rFonts w:ascii="Arial" w:cs="Arial" w:eastAsia="Arial" w:hAnsi="Arial"/>
          <w:color w:val="2D3748"/>
          <w:sz w:val="21"/>
          <w:szCs w:val="21"/>
        </w:rPr>
        <w:t xml:space="preserve">Leg uit hoe het mogelijk is dat het bbp stijgt maar het groen bbp daalt.</w:t>
      </w:r>
    </w:p>
    <w:p>
      <w:pPr>
        <w:spacing w:after="50"/>
      </w:pPr>
      <w:r>
        <w:rPr>
          <w:rFonts w:ascii="Arial" w:cs="Arial" w:eastAsia="Arial" w:hAnsi="Arial"/>
          <w:b/>
          <w:bCs/>
          <w:color w:val="1E2761"/>
          <w:sz w:val="21"/>
          <w:szCs w:val="21"/>
        </w:rPr>
        <w:t xml:space="preserve">7.  </w:t>
      </w:r>
      <w:r>
        <w:rPr>
          <w:rFonts w:ascii="Arial" w:cs="Arial" w:eastAsia="Arial" w:hAnsi="Arial"/>
          <w:color w:val="2D3748"/>
          <w:sz w:val="21"/>
          <w:szCs w:val="21"/>
        </w:rPr>
        <w:t xml:space="preserve">De overheid kan de overheidsbestedingen verhogen. Leg uit dat dit het groen bbp zowel kan verhogen als verlagen.</w:t>
      </w:r>
    </w:p>
    <w:p>
      <w:r>
        <w:br w:type="page"/>
      </w:r>
    </w:p>
    <w:p>
      <w:pPr>
        <w:spacing w:after="100"/>
      </w:pPr>
      <w:r>
        <w:rPr>
          <w:rFonts w:ascii="Arial" w:cs="Arial" w:eastAsia="Arial" w:hAnsi="Arial"/>
          <w:b/>
          <w:bCs/>
          <w:color w:val="1E2761"/>
          <w:sz w:val="28"/>
          <w:szCs w:val="28"/>
        </w:rPr>
        <w:t xml:space="preserve">Antwoorden</w:t>
      </w:r>
    </w:p>
    <w:p>
      <w:pPr>
        <w:spacing w:after="60"/>
      </w:pPr>
      <w:r>
        <w:rPr>
          <w:rFonts w:ascii="Arial" w:cs="Arial" w:eastAsia="Arial" w:hAnsi="Arial"/>
          <w:b/>
          <w:bCs/>
          <w:color w:val="1E8449"/>
          <w:sz w:val="21"/>
          <w:szCs w:val="21"/>
        </w:rPr>
        <w:t xml:space="preserve">1.  </w:t>
      </w:r>
      <w:r>
        <w:rPr>
          <w:rFonts w:ascii="Arial" w:cs="Arial" w:eastAsia="Arial" w:hAnsi="Arial"/>
          <w:color w:val="2D3748"/>
          <w:sz w:val="21"/>
          <w:szCs w:val="21"/>
        </w:rPr>
        <w:t xml:space="preserve">Gestegen (met 1,8%).</w:t>
      </w:r>
    </w:p>
    <w:p>
      <w:pPr>
        <w:spacing w:after="60"/>
      </w:pPr>
      <w:r>
        <w:rPr>
          <w:rFonts w:ascii="Arial" w:cs="Arial" w:eastAsia="Arial" w:hAnsi="Arial"/>
          <w:b/>
          <w:bCs/>
          <w:color w:val="1E8449"/>
          <w:sz w:val="21"/>
          <w:szCs w:val="21"/>
        </w:rPr>
        <w:t xml:space="preserve">2.  </w:t>
      </w:r>
      <w:r>
        <w:rPr>
          <w:rFonts w:ascii="Arial" w:cs="Arial" w:eastAsia="Arial" w:hAnsi="Arial"/>
          <w:color w:val="2D3748"/>
          <w:sz w:val="21"/>
          <w:szCs w:val="21"/>
        </w:rPr>
        <w:t xml:space="preserve">Lager.</w:t>
      </w:r>
    </w:p>
    <w:p>
      <w:pPr>
        <w:spacing w:after="60"/>
      </w:pPr>
      <w:r>
        <w:rPr>
          <w:rFonts w:ascii="Arial" w:cs="Arial" w:eastAsia="Arial" w:hAnsi="Arial"/>
          <w:b/>
          <w:bCs/>
          <w:color w:val="1E8449"/>
          <w:sz w:val="21"/>
          <w:szCs w:val="21"/>
        </w:rPr>
        <w:t xml:space="preserve">3.  </w:t>
      </w:r>
      <w:r>
        <w:rPr>
          <w:rFonts w:ascii="Arial" w:cs="Arial" w:eastAsia="Arial" w:hAnsi="Arial"/>
          <w:color w:val="2D3748"/>
          <w:sz w:val="21"/>
          <w:szCs w:val="21"/>
        </w:rPr>
        <w:t xml:space="preserve">CO₂-uitstoot en biodiversiteitsverlies.</w:t>
      </w:r>
    </w:p>
    <w:p>
      <w:pPr>
        <w:spacing w:after="60"/>
      </w:pPr>
      <w:r>
        <w:rPr>
          <w:rFonts w:ascii="Arial" w:cs="Arial" w:eastAsia="Arial" w:hAnsi="Arial"/>
          <w:b/>
          <w:bCs/>
          <w:color w:val="1E8449"/>
          <w:sz w:val="21"/>
          <w:szCs w:val="21"/>
        </w:rPr>
        <w:t xml:space="preserve">4.  </w:t>
      </w:r>
      <w:r>
        <w:rPr>
          <w:rFonts w:ascii="Arial" w:cs="Arial" w:eastAsia="Arial" w:hAnsi="Arial"/>
          <w:color w:val="2D3748"/>
          <w:sz w:val="21"/>
          <w:szCs w:val="21"/>
        </w:rPr>
        <w:t xml:space="preserve">1,8% × €900 mld = €16,2 miljard.</w:t>
      </w:r>
    </w:p>
    <w:p>
      <w:pPr>
        <w:spacing w:after="60"/>
      </w:pPr>
      <w:r>
        <w:rPr>
          <w:rFonts w:ascii="Arial" w:cs="Arial" w:eastAsia="Arial" w:hAnsi="Arial"/>
          <w:b/>
          <w:bCs/>
          <w:color w:val="1E8449"/>
          <w:sz w:val="21"/>
          <w:szCs w:val="21"/>
        </w:rPr>
        <w:t xml:space="preserve">5.  </w:t>
      </w:r>
      <w:r>
        <w:rPr>
          <w:rFonts w:ascii="Arial" w:cs="Arial" w:eastAsia="Arial" w:hAnsi="Arial"/>
          <w:color w:val="2D3748"/>
          <w:sz w:val="21"/>
          <w:szCs w:val="21"/>
        </w:rPr>
        <w:t xml:space="preserve">Ze bewegen in tegengestelde richting: het bbp stijgt, maar het groen bbp daalt. De economische groei gaat ten koste van het milieu.</w:t>
      </w:r>
    </w:p>
    <w:p>
      <w:pPr>
        <w:spacing w:after="60"/>
      </w:pPr>
      <w:r>
        <w:rPr>
          <w:rFonts w:ascii="Arial" w:cs="Arial" w:eastAsia="Arial" w:hAnsi="Arial"/>
          <w:b/>
          <w:bCs/>
          <w:color w:val="1E8449"/>
          <w:sz w:val="21"/>
          <w:szCs w:val="21"/>
        </w:rPr>
        <w:t xml:space="preserve">6.  </w:t>
      </w:r>
      <w:r>
        <w:rPr>
          <w:rFonts w:ascii="Arial" w:cs="Arial" w:eastAsia="Arial" w:hAnsi="Arial"/>
          <w:color w:val="2D3748"/>
          <w:sz w:val="21"/>
          <w:szCs w:val="21"/>
        </w:rPr>
        <w:t xml:space="preserve">Groen bbp = bbp + milieuverbetering – milieuschade. Als de milieuschade groter is dan de bbp-stijging, daalt het groen bbp.</w:t>
      </w:r>
    </w:p>
    <w:p>
      <w:pPr>
        <w:spacing w:after="60"/>
      </w:pPr>
      <w:r>
        <w:rPr>
          <w:rFonts w:ascii="Arial" w:cs="Arial" w:eastAsia="Arial" w:hAnsi="Arial"/>
          <w:b/>
          <w:bCs/>
          <w:color w:val="1E8449"/>
          <w:sz w:val="21"/>
          <w:szCs w:val="21"/>
        </w:rPr>
        <w:t xml:space="preserve">7.  </w:t>
      </w:r>
      <w:r>
        <w:rPr>
          <w:rFonts w:ascii="Arial" w:cs="Arial" w:eastAsia="Arial" w:hAnsi="Arial"/>
          <w:color w:val="2D3748"/>
          <w:sz w:val="21"/>
          <w:szCs w:val="21"/>
        </w:rPr>
        <w:t xml:space="preserve">Stijging: hogere overheidsbestedingen → hoger bbp → als netto milieueffect positief of neutraal, stijgt groen bbp. Daling: als de extra productie meer milieuschade veroorzaakt dan de bbp-stijging, daalt het groen bbp.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Pagina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Opgave 5 Groen ontgroeien – Nieuws met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90d940c7ecb4589dcd91f32a19063512b908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2026-03-26T15:07:08.872Z</dcterms:created>
  <dcterms:modified xsi:type="dcterms:W3CDTF">2026-03-26T15:07:08.872Z</dcterms:modified>
</cp:coreProperties>
</file>

<file path=docProps/custom.xml><?xml version="1.0" encoding="utf-8"?>
<Properties xmlns="http://schemas.openxmlformats.org/officeDocument/2006/custom-properties" xmlns:vt="http://schemas.openxmlformats.org/officeDocument/2006/docPropsVTypes"/>
</file>