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E2761"/>
          <w:sz w:val="44"/>
          <w:szCs w:val="44"/>
        </w:rPr>
        <w:t xml:space="preserve">Groen ontgroeien</w:t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718096"/>
          <w:sz w:val="24"/>
          <w:szCs w:val="24"/>
        </w:rPr>
        <w:t xml:space="preserve">Samenvatting voor toetsvoorbereiding</w:t>
      </w:r>
    </w:p>
    <w:p>
      <w:pPr>
        <w:spacing w:after="20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Begrippen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3430"/>
        <w:gridCol w:w="3069"/>
      </w:tblGrid>
      <w:tr>
        <w:tc>
          <w:tcPr>
            <w:tcW w:type="dxa" w:w="2527"/>
            <w:tcBorders>
              <w:top w:val="single" w:color="1E2761" w:sz="1"/>
              <w:left w:val="single" w:color="1E2761" w:sz="1"/>
              <w:bottom w:val="single" w:color="1E2761" w:sz="1"/>
              <w:right w:val="single" w:color="1E2761" w:sz="1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Begrip</w:t>
            </w:r>
          </w:p>
        </w:tc>
        <w:tc>
          <w:tcPr>
            <w:tcW w:type="dxa" w:w="3430"/>
            <w:tcBorders>
              <w:top w:val="single" w:color="1E2761" w:sz="1"/>
              <w:left w:val="single" w:color="1E2761" w:sz="1"/>
              <w:bottom w:val="single" w:color="1E2761" w:sz="1"/>
              <w:right w:val="single" w:color="1E2761" w:sz="1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Definitie</w:t>
            </w:r>
          </w:p>
        </w:tc>
        <w:tc>
          <w:tcPr>
            <w:tcW w:type="dxa" w:w="3069"/>
            <w:tcBorders>
              <w:top w:val="single" w:color="1E2761" w:sz="1"/>
              <w:left w:val="single" w:color="1E2761" w:sz="1"/>
              <w:bottom w:val="single" w:color="1E2761" w:sz="1"/>
              <w:right w:val="single" w:color="1E2761" w:sz="1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Voorbeeld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20"/>
                <w:szCs w:val="20"/>
              </w:rPr>
              <w:t xml:space="preserve">Effectieve vraag (EV)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C + I + O + E – M</w:t>
            </w:r>
          </w:p>
        </w:tc>
        <w:tc>
          <w:tcPr>
            <w:tcW w:type="dxa" w:w="30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EV₀ = 400 + 0,5Y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20"/>
                <w:szCs w:val="20"/>
              </w:rPr>
              <w:t xml:space="preserve">Autonome component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Bestedingen onafhankelijk van Y</w:t>
            </w:r>
          </w:p>
        </w:tc>
        <w:tc>
          <w:tcPr>
            <w:tcW w:type="dxa" w:w="30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C₀ = 400 (daalt naar 360)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20"/>
                <w:szCs w:val="20"/>
              </w:rPr>
              <w:t xml:space="preserve">MPC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Marginale consumptiequote</w:t>
            </w:r>
          </w:p>
        </w:tc>
        <w:tc>
          <w:tcPr>
            <w:tcW w:type="dxa" w:w="30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c = 0,5 (daalt naar 0,4)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20"/>
                <w:szCs w:val="20"/>
              </w:rPr>
              <w:t xml:space="preserve">Groen bbp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Bbp gecorrigeerd voor milieueffecten</w:t>
            </w:r>
          </w:p>
        </w:tc>
        <w:tc>
          <w:tcPr>
            <w:tcW w:type="dxa" w:w="30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Bbp + verbetering – schade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20"/>
                <w:szCs w:val="20"/>
              </w:rPr>
              <w:t xml:space="preserve">Output gap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Y – Y*</w:t>
            </w:r>
          </w:p>
        </w:tc>
        <w:tc>
          <w:tcPr>
            <w:tcW w:type="dxa" w:w="30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Negatief = onderbesteding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20"/>
                <w:szCs w:val="20"/>
              </w:rPr>
              <w:t xml:space="preserve">IS-curve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Combinaties r en Y bij goederenmarktevenwicht</w:t>
            </w:r>
          </w:p>
        </w:tc>
        <w:tc>
          <w:tcPr>
            <w:tcW w:type="dxa" w:w="30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Steiler = minder rentegevoelig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Formules en berekeningen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Evenwichtsinkomen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1A5276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Y = EV → Y = 400 + 0,5Y → Y* = 800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Na verandering: Y = 360 + 0,4Y → Y* = 600</w:t>
            </w:r>
          </w:p>
        </w:tc>
      </w:tr>
    </w:tbl>
    <w:p>
      <w:pPr>
        <w:spacing w:after="8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Redeneerschema’s</w:t>
      </w:r>
    </w:p>
    <w:p>
      <w:pPr>
        <w:spacing w:after="10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Volg de pijlen van oorzaak naar gevolg. Gebruik signaalwoorden (hierdoor, waardoor, zodat).</w:t>
      </w:r>
    </w:p>
    <w:p>
      <w:pPr>
        <w:spacing w:after="40"/>
      </w:pPr>
    </w:p>
    <w:p>
      <w:pPr>
        <w:spacing w:after="80"/>
      </w:pPr>
      <w:r>
        <w:rPr>
          <w:rFonts w:ascii="Arial" w:cs="Arial" w:eastAsia="Arial" w:hAnsi="Arial"/>
          <w:color w:val="1A5276"/>
          <w:sz w:val="22"/>
          <w:szCs w:val="22"/>
        </w:rPr>
        <w:t xml:space="preserve">➡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Autonome C daalt → EV verschuift omlaag + MPC daalt → EV wordt vlakker</w:t>
      </w:r>
    </w:p>
    <w:p>
      <w:pPr>
        <w:spacing w:after="80"/>
      </w:pPr>
      <w:r>
        <w:rPr>
          <w:rFonts w:ascii="Arial" w:cs="Arial" w:eastAsia="Arial" w:hAnsi="Arial"/>
          <w:color w:val="1A5276"/>
          <w:sz w:val="22"/>
          <w:szCs w:val="22"/>
        </w:rPr>
        <w:t xml:space="preserve">➡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Hogere O → hoger bbp, maar als milieuschade &gt; bbp-stijging → groen bbp daalt</w:t>
      </w:r>
    </w:p>
    <w:p>
      <w:pPr>
        <w:spacing w:after="80"/>
      </w:pPr>
      <w:r>
        <w:rPr>
          <w:rFonts w:ascii="Arial" w:cs="Arial" w:eastAsia="Arial" w:hAnsi="Arial"/>
          <w:color w:val="1A5276"/>
          <w:sz w:val="22"/>
          <w:szCs w:val="22"/>
        </w:rPr>
        <w:t xml:space="preserve">➡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IS steiler → renteverlaging heeft minder effect op Y → monetair beleid minder effectief</w:t>
      </w:r>
    </w:p>
    <w:p>
      <w:pPr>
        <w:spacing w:after="80"/>
      </w:pPr>
      <w:r>
        <w:rPr>
          <w:rFonts w:ascii="Arial" w:cs="Arial" w:eastAsia="Arial" w:hAnsi="Arial"/>
          <w:color w:val="1A5276"/>
          <w:sz w:val="22"/>
          <w:szCs w:val="22"/>
        </w:rPr>
        <w:t xml:space="preserve">➡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Minder uren werken → Y* daalt naar 600 → output gap = 600 – 600 = 0</w:t>
      </w:r>
    </w:p>
    <w:p>
      <w:pPr>
        <w:spacing w:after="80"/>
      </w:pPr>
    </w:p>
    <w:p>
      <w:r>
        <w:br w:type="pag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Veelgemaakte fouten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DE8E8" w:sz="1"/>
              <w:left w:val="single" w:color="D9534F" w:sz="12"/>
              <w:bottom w:val="single" w:color="FDE8E8" w:sz="1"/>
              <w:right w:val="single" w:color="FDE8E8" w:sz="1"/>
            </w:tcBorders>
            <w:shd w:fill="FDE8E8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color w:val="D9534F"/>
                <w:sz w:val="22"/>
                <w:szCs w:val="22"/>
              </w:rPr>
              <w:t xml:space="preserve">❌ 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Ligging en helling door elkaar halen (ligging = autonoom, helling = MPC)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DE8E8" w:sz="1"/>
              <w:left w:val="single" w:color="D9534F" w:sz="12"/>
              <w:bottom w:val="single" w:color="FDE8E8" w:sz="1"/>
              <w:right w:val="single" w:color="FDE8E8" w:sz="1"/>
            </w:tcBorders>
            <w:shd w:fill="FDE8E8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color w:val="D9534F"/>
                <w:sz w:val="22"/>
                <w:szCs w:val="22"/>
              </w:rPr>
              <w:t xml:space="preserve">❌ 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Steilere IS = effectiever denken (het is juist MINDER effectief)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DE8E8" w:sz="1"/>
              <w:left w:val="single" w:color="D9534F" w:sz="12"/>
              <w:bottom w:val="single" w:color="FDE8E8" w:sz="1"/>
              <w:right w:val="single" w:color="FDE8E8" w:sz="1"/>
            </w:tcBorders>
            <w:shd w:fill="FDE8E8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color w:val="D9534F"/>
                <w:sz w:val="22"/>
                <w:szCs w:val="22"/>
              </w:rPr>
              <w:t xml:space="preserve">❌ 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Bij output gap: denken dat Y stijgt (nee, Y* daalt naar Y)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DE8E8" w:sz="1"/>
              <w:left w:val="single" w:color="D9534F" w:sz="12"/>
              <w:bottom w:val="single" w:color="FDE8E8" w:sz="1"/>
              <w:right w:val="single" w:color="FDE8E8" w:sz="1"/>
            </w:tcBorders>
            <w:shd w:fill="FDE8E8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color w:val="D9534F"/>
                <w:sz w:val="22"/>
                <w:szCs w:val="22"/>
              </w:rPr>
              <w:t xml:space="preserve">❌ 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Bij groen bbp vergeten dat het zowel kan stijgen als dalen</w:t>
            </w:r>
          </w:p>
        </w:tc>
      </w:tr>
    </w:tbl>
    <w:p>
      <w:pPr>
        <w:spacing w:after="40"/>
      </w:pPr>
    </w:p>
    <w:p>
      <w:pPr>
        <w:spacing w:after="10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Checklist toetsvoorbereiding</w:t>
      </w:r>
    </w:p>
    <w:p>
      <w:pPr>
        <w:spacing w:after="10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Vink af wat je beheerst: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Ik kan de twee veranderingen van de EV-curve apart benoemen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Ik kan uitleggen waarom groen bbp kan stijgen én dalen bij hogere O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Ik kan de helling van de IS-curve verbinden aan effectiviteit monetair beleid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Ik kan uitleggen hoe de output gap verdwijnt als Y* daalt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Pagina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Opgave 5 Groen ontgroeien – Samenvatting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2026-03-26T17:28:49.711Z</dcterms:created>
  <dcterms:modified xsi:type="dcterms:W3CDTF">2026-03-26T17:28:49.711Z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