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5  Groen ontgroeien</w:t>
      </w:r>
    </w:p>
    <w:p>
      <w:pPr>
        <w:spacing w:after="60"/>
      </w:pPr>
      <w:r>
        <w:rPr>
          <w:rFonts w:ascii="Arial" w:cs="Arial" w:eastAsia="Arial" w:hAnsi="Arial"/>
          <w:i/>
          <w:iCs/>
          <w:color w:val="718096"/>
          <w:sz w:val="22"/>
          <w:szCs w:val="22"/>
        </w:rPr>
        <w:t xml:space="preserve">Centraal Examen 2025 Tijdvak 1</w:t>
      </w:r>
    </w:p>
    <w:p>
      <w:pPr>
        <w:spacing w:after="240"/>
      </w:pPr>
      <w:r>
        <w:rPr>
          <w:rFonts w:ascii="Arial" w:cs="Arial" w:eastAsia="Arial" w:hAnsi="Arial"/>
          <w:color w:val="718096"/>
          <w:sz w:val="20"/>
          <w:szCs w:val="20"/>
        </w:rPr>
        <w:t xml:space="preserve">10 punten voor deze opgave</w:t>
      </w:r>
    </w:p>
    <w:p>
      <w:pPr>
        <w:spacing w:after="120"/>
      </w:pPr>
      <w:r>
        <w:rPr>
          <w:rFonts w:ascii="Arial" w:cs="Arial" w:eastAsia="Arial" w:hAnsi="Arial"/>
          <w:color w:val="2D3748"/>
          <w:sz w:val="22"/>
          <w:szCs w:val="22"/>
        </w:rPr>
        <w:t xml:space="preserve">In een land is de huidige consumptie niet duurzaam ten opzichte van wat de aarde aankan. Huishoudens besluiten hun verantwoordelijkheid te nemen en minder te consumeren. Een econoom analyseert de effecten van deze gedragsverandering met behulp van het Keynesiaanse kruis (zie figuur 1).</w:t>
      </w:r>
    </w:p>
    <w:p>
      <w:pPr>
        <w:spacing w:after="80"/>
      </w:pPr>
    </w:p>
    <w:p>
      <w:pPr>
        <w:spacing w:after="120"/>
      </w:pPr>
      <w:r>
        <w:drawing>
          <wp:inline distT="0" distB="0" distL="0" distR="0">
            <wp:extent cx="47815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3619500"/>
                    </a:xfrm>
                    <a:prstGeom prst="rect">
                      <a:avLst/>
                    </a:prstGeom>
                  </pic:spPr>
                </pic:pic>
              </a:graphicData>
            </a:graphic>
          </wp:inline>
        </w:drawing>
      </w:r>
    </w:p>
    <w:p>
      <w:pPr>
        <w:spacing w:after="80"/>
      </w:pPr>
    </w:p>
    <w:p>
      <w:pPr>
        <w:spacing w:after="160"/>
      </w:pPr>
    </w:p>
    <w:p>
      <w:pPr>
        <w:spacing w:after="120"/>
      </w:pPr>
      <w:r>
        <w:rPr>
          <w:rFonts w:ascii="Arial" w:cs="Arial" w:eastAsia="Arial" w:hAnsi="Arial"/>
          <w:color w:val="2D3748"/>
          <w:sz w:val="22"/>
          <w:szCs w:val="22"/>
        </w:rPr>
        <w:t xml:space="preserve">EV₀ = oude effectieve vraag (voor de gedragsverandering) = 400 + 0,5Y</w:t>
      </w:r>
      <w:r>
        <w:rPr>
          <w:rFonts w:ascii="Arial" w:cs="Arial" w:eastAsia="Arial" w:hAnsi="Arial"/>
          <w:color w:val="2D3748"/>
          <w:sz w:val="22"/>
          <w:szCs w:val="22"/>
        </w:rPr>
        <w:br/>
        <w:t xml:space="preserve"/>
      </w:r>
      <w:r>
        <w:rPr>
          <w:rFonts w:ascii="Arial" w:cs="Arial" w:eastAsia="Arial" w:hAnsi="Arial"/>
          <w:color w:val="2D3748"/>
          <w:sz w:val="22"/>
          <w:szCs w:val="22"/>
        </w:rPr>
        <w:t xml:space="preserve">EV₁ = nieuwe effectieve vraag (na de gedragsverandering) = 360 + 0,4Y</w:t>
      </w:r>
    </w:p>
    <w:p>
      <w:pPr>
        <w:spacing w:after="120"/>
      </w:pPr>
      <w:r>
        <w:rPr>
          <w:rFonts w:ascii="Arial" w:cs="Arial" w:eastAsia="Arial" w:hAnsi="Arial"/>
          <w:color w:val="2D3748"/>
          <w:sz w:val="22"/>
          <w:szCs w:val="22"/>
        </w:rPr>
        <w:t xml:space="preserve">De econoom stelt: “Door de gedragsverandering van consumenten is zowel de ligging als de helling van de EV₁-curve veranderd ten opzichte van de EV₀-curve.”</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21</w:t>
            </w:r>
          </w:p>
        </w:tc>
      </w:tr>
    </w:tbl>
    <w:p>
      <w:pPr>
        <w:spacing w:after="80"/>
      </w:pPr>
    </w:p>
    <w:p>
      <w:pPr>
        <w:spacing w:after="120"/>
      </w:pPr>
      <w:r>
        <w:rPr>
          <w:rFonts w:ascii="Arial" w:cs="Arial" w:eastAsia="Arial" w:hAnsi="Arial"/>
          <w:color w:val="2D3748"/>
          <w:sz w:val="22"/>
          <w:szCs w:val="22"/>
        </w:rPr>
        <w:t xml:space="preserve">Leg beide veranderingen van de EV₁-curve ten opzichte van de EV₀-curve uit.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Door de gedragsverandering ontstaat een negatieve output gap. De econoom analyseert twee maatregelen: het voeren van begrotingsbeleid of monetair beleid.</w:t>
      </w:r>
    </w:p>
    <w:p>
      <w:pPr>
        <w:spacing w:after="120"/>
      </w:pPr>
      <w:r>
        <w:rPr>
          <w:rFonts w:ascii="Arial" w:cs="Arial" w:eastAsia="Arial" w:hAnsi="Arial"/>
          <w:color w:val="2D3748"/>
          <w:sz w:val="22"/>
          <w:szCs w:val="22"/>
        </w:rPr>
        <w:t xml:space="preserve">De overheid kan de overheidsbestedingen verhogen. Dit heeft twee gevolgen voor het groen bbp.</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22</w:t>
            </w:r>
          </w:p>
        </w:tc>
      </w:tr>
    </w:tbl>
    <w:p>
      <w:pPr>
        <w:spacing w:after="80"/>
      </w:pPr>
    </w:p>
    <w:p>
      <w:pPr>
        <w:spacing w:after="120"/>
      </w:pPr>
      <w:r>
        <w:rPr>
          <w:rFonts w:ascii="Arial" w:cs="Arial" w:eastAsia="Arial" w:hAnsi="Arial"/>
          <w:color w:val="2D3748"/>
          <w:sz w:val="22"/>
          <w:szCs w:val="22"/>
        </w:rPr>
        <w:t xml:space="preserve">Leg uit dat door de hogere overheidsbestedingen het groen bbp zowel kan dalen als kan stijgen.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De econoom wil ook analyseren of het monetaire beleid invloed heeft na de gedragsverandering. De econoom schetst daarom een nieuw model (zie figuur 2).</w:t>
      </w:r>
    </w:p>
    <w:p>
      <w:pPr>
        <w:spacing w:after="120"/>
      </w:pPr>
      <w:r>
        <w:rPr>
          <w:rFonts w:ascii="Arial" w:cs="Arial" w:eastAsia="Arial" w:hAnsi="Arial"/>
          <w:color w:val="2D3748"/>
          <w:sz w:val="22"/>
          <w:szCs w:val="22"/>
        </w:rPr>
        <w:t xml:space="preserve">IS₀ = IS-curve voor de gedragsverandering</w:t>
      </w:r>
      <w:r>
        <w:rPr>
          <w:rFonts w:ascii="Arial" w:cs="Arial" w:eastAsia="Arial" w:hAnsi="Arial"/>
          <w:color w:val="2D3748"/>
          <w:sz w:val="22"/>
          <w:szCs w:val="22"/>
        </w:rPr>
        <w:br/>
        <w:t xml:space="preserve"/>
      </w:r>
      <w:r>
        <w:rPr>
          <w:rFonts w:ascii="Arial" w:cs="Arial" w:eastAsia="Arial" w:hAnsi="Arial"/>
          <w:color w:val="2D3748"/>
          <w:sz w:val="22"/>
          <w:szCs w:val="22"/>
        </w:rPr>
        <w:t xml:space="preserve">IS₁ = IS-curve na de gedragsverandering</w:t>
      </w:r>
    </w:p>
    <w:p>
      <w:pPr>
        <w:spacing w:after="120"/>
      </w:pPr>
      <w:r>
        <w:rPr>
          <w:rFonts w:ascii="Arial" w:cs="Arial" w:eastAsia="Arial" w:hAnsi="Arial"/>
          <w:color w:val="2D3748"/>
          <w:sz w:val="22"/>
          <w:szCs w:val="22"/>
        </w:rPr>
        <w:t xml:space="preserve">Door de gedragsverandering is de helling van de IS-curve veranderd. Dit heeft effect op de effectiviteit van monetair beleid.</w:t>
      </w:r>
    </w:p>
    <w:p>
      <w:pPr>
        <w:spacing w:after="80"/>
      </w:pPr>
    </w:p>
    <w:p>
      <w:pPr>
        <w:spacing w:after="120"/>
      </w:pPr>
      <w:r>
        <w:drawing>
          <wp:inline distT="0" distB="0" distL="0" distR="0">
            <wp:extent cx="46101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10100" cy="3619500"/>
                    </a:xfrm>
                    <a:prstGeom prst="rect">
                      <a:avLst/>
                    </a:prstGeom>
                  </pic:spPr>
                </pic:pic>
              </a:graphicData>
            </a:graphic>
          </wp:inline>
        </w:drawing>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23</w:t>
            </w:r>
          </w:p>
        </w:tc>
      </w:tr>
    </w:tbl>
    <w:p>
      <w:pPr>
        <w:spacing w:after="80"/>
      </w:pPr>
    </w:p>
    <w:p>
      <w:pPr>
        <w:spacing w:after="120"/>
      </w:pPr>
      <w:r>
        <w:rPr>
          <w:rFonts w:ascii="Arial" w:cs="Arial" w:eastAsia="Arial" w:hAnsi="Arial"/>
          <w:color w:val="2D3748"/>
          <w:sz w:val="22"/>
          <w:szCs w:val="22"/>
        </w:rPr>
        <w:t xml:space="preserve">Leg uit of monetair beleid effectiever of minder effectief is geworden door de gedragsverandering.</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De econoom concludeert: “In dit model zal monetair beleid ervoor zorgen dat de economie weer terugkeert in het oude evenwicht van voor de gedragsverandering.”</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24</w:t>
            </w:r>
          </w:p>
        </w:tc>
      </w:tr>
    </w:tbl>
    <w:p>
      <w:pPr>
        <w:spacing w:after="80"/>
      </w:pPr>
    </w:p>
    <w:p>
      <w:pPr>
        <w:spacing w:after="120"/>
      </w:pPr>
      <w:r>
        <w:rPr>
          <w:rFonts w:ascii="Arial" w:cs="Arial" w:eastAsia="Arial" w:hAnsi="Arial"/>
          <w:color w:val="2D3748"/>
          <w:sz w:val="22"/>
          <w:szCs w:val="22"/>
        </w:rPr>
        <w:t xml:space="preserve">Leg uit welk monetair beleid de centrale bank zal voeren waardoor het oude evenwicht wordt bereikt. Noem de nieuwe reële evenwichtsrente.</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Consumenten hebben een sociale norm uitgesproken: zij gaan minder consumeren en dus is een lager inkomen voor hen voldoende. De overheid kan via deze sociale norm beleid voeren om het potentiële inkomen naar Y* = 600 miljard te brengen. De econoom stelt: “Als consumenten minder uren gaan werken, verdwijnt de output gap.”</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25</w:t>
            </w:r>
          </w:p>
        </w:tc>
      </w:tr>
    </w:tbl>
    <w:p>
      <w:pPr>
        <w:spacing w:after="80"/>
      </w:pPr>
    </w:p>
    <w:p>
      <w:pPr>
        <w:spacing w:after="120"/>
      </w:pPr>
      <w:r>
        <w:rPr>
          <w:rFonts w:ascii="Arial" w:cs="Arial" w:eastAsia="Arial" w:hAnsi="Arial"/>
          <w:color w:val="2D3748"/>
          <w:sz w:val="22"/>
          <w:szCs w:val="22"/>
        </w:rPr>
        <w:t xml:space="preserve">Leg de stelling van de econoom uit.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b34c4d30ecc54c12d72e91328c2c83cf83f3e3.png"/><Relationship Id="rId10" Type="http://schemas.openxmlformats.org/officeDocument/2006/relationships/image" Target="media/66b12efd82f647e9838c5fb732b0218ac784878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2026-03-26T14:36:20.021Z</dcterms:created>
  <dcterms:modified xsi:type="dcterms:W3CDTF">2026-03-26T14:36:20.021Z</dcterms:modified>
</cp:coreProperties>
</file>

<file path=docProps/custom.xml><?xml version="1.0" encoding="utf-8"?>
<Properties xmlns="http://schemas.openxmlformats.org/officeDocument/2006/custom-properties" xmlns:vt="http://schemas.openxmlformats.org/officeDocument/2006/docPropsVTypes"/>
</file>