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none"/>
              <w:left w:val="none"/>
              <w:bottom w:val="none"/>
              <w:right w:val="none"/>
            </w:tcBorders>
            <w:shd w:fill="1E8449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Groenten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CE Economie 2025 – Opgave 6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Speltheorie en externe effecten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Verzonken kosten?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Grond kan alternatief aangewend → NEEN</w:t>
            </w:r>
          </w:p>
        </w:tc>
        <w:tc>
          <w:tcPr>
            <w:tcW w:type="dxa" w:w="3488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⚖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Nash-evenwichten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Trad;Trad (€80k) en Bio;Bio (€92,9k)</w:t>
            </w:r>
          </w:p>
        </w:tc>
        <w:tc>
          <w:tcPr>
            <w:tcW w:type="dxa" w:w="3490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🌿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Externe effecten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Traditioneel = milieuschade, niet in de prijs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3748"/>
                <w:sz w:val="20"/>
                <w:szCs w:val="20"/>
              </w:rPr>
              <w:t xml:space="preserve">TCK = TO – TVK – TW = 138.150 – 46.050 – 75.000 = €17.100 (+20%)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Redeneerketen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Afzetmax → traditioneel dominant (65k&gt;46k) → milieuschade blijft → externe effecten dalen NIET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Onthoud: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Lees de matrix correct: links = boer A, rechts = boer B. Trek altijd een expliciete conclusie over externe effecten.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2026-03-26T17:30:22.489Z</dcterms:created>
  <dcterms:modified xsi:type="dcterms:W3CDTF">2026-03-26T17:30:22.489Z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