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48"/>
          <w:szCs w:val="48"/>
        </w:rPr>
        <w:t xml:space="preserve">Groenten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6"/>
          <w:szCs w:val="26"/>
        </w:rPr>
        <w:t xml:space="preserve">Opgave 6 Groenten – Uitleg voorkennis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718096"/>
          <w:sz w:val="22"/>
          <w:szCs w:val="22"/>
        </w:rPr>
        <w:t xml:space="preserve">Wat moet je al weten voor je begint?</w:t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</w:t>
            </w:r>
          </w:p>
        </w:tc>
        <w:tc>
          <w:tcPr>
            <w:tcW w:type="dxa" w:w="8426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EBF5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28"/>
                <w:szCs w:val="28"/>
              </w:rPr>
              <w:t xml:space="preserve">Terugrekenen uit een tabel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A5276"/>
                <w:sz w:val="18"/>
                <w:szCs w:val="18"/>
              </w:rPr>
              <w:t xml:space="preserve">Wiskundig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Uitleg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Als je de omzet, variabele kosten en winst kent, kun je de vaste kosten berekenen: TCK = TO – TVK – TW.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TO = 46.050×3 = 138.150. TVK = 46.050×1 = 46.050. TW = 75.000. TCK = 138.150 – 46.050 – 75.000 = 17.100.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12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E8449"/>
                <w:sz w:val="22"/>
                <w:szCs w:val="22"/>
              </w:rPr>
              <w:t xml:space="preserve">✅ Controle: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Klopt je antwoord? Check: TO = TVK + TCK + TW = 46.050 + 17.100 + 75.000 = 138.150. ✓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E67E22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2</w:t>
            </w:r>
          </w:p>
        </w:tc>
        <w:tc>
          <w:tcPr>
            <w:tcW w:type="dxa" w:w="8426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FEF5E7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BA6A1C"/>
                <w:sz w:val="28"/>
                <w:szCs w:val="28"/>
              </w:rPr>
              <w:t xml:space="preserve">Speltheorie: Nash en dominantie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E67E22"/>
                <w:sz w:val="18"/>
                <w:szCs w:val="18"/>
              </w:rPr>
              <w:t xml:space="preserve">Economisch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Uitleg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Een Nash-evenwicht = geen speler kan eenzijdig verbeteren. Een dominante strategie = altijd de beste keuze, ongeacht de ander.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Bij winstmax: (trad;trad) en (bio;bio) zijn Nash. Bij afzetmax: traditioneel is dominant voor beide (65k &gt; 46k, 70k &gt; 55k).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12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E8449"/>
                <w:sz w:val="22"/>
                <w:szCs w:val="22"/>
              </w:rPr>
              <w:t xml:space="preserve">✅ Controle: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Kun je het verschil uitleggen tussen Nash-evenwicht en Pareto-optimum?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E67E22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3</w:t>
            </w:r>
          </w:p>
        </w:tc>
        <w:tc>
          <w:tcPr>
            <w:tcW w:type="dxa" w:w="8426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FEF5E7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BA6A1C"/>
                <w:sz w:val="28"/>
                <w:szCs w:val="28"/>
              </w:rPr>
              <w:t xml:space="preserve">Externe effecten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E67E22"/>
                <w:sz w:val="18"/>
                <w:szCs w:val="18"/>
              </w:rPr>
              <w:t xml:space="preserve">Economisch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Uitleg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Externe effecten zijn kosten of baten die niet in de marktprijs zitten. Negatief extern effect = schade voor derden (bijv. milieuvervuiling).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Traditionele groenteteelt veroorzaakt milieuschade (negatief extern effect). Als boeren traditioneel blijven kiezen, dalen de externe effecten niet.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12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E8449"/>
                <w:sz w:val="22"/>
                <w:szCs w:val="22"/>
              </w:rPr>
              <w:t xml:space="preserve">✅ Controle: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Kun je uitleggen waarom de markt bij externe effecten niet tot een efficiënte uitkomst komt?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200"/>
      </w:pPr>
      <w:r>
        <w:rPr>
          <w:rFonts w:ascii="Arial" w:cs="Arial" w:eastAsia="Arial" w:hAnsi="Arial"/>
          <w:b/>
          <w:bCs/>
          <w:color w:val="1E2761"/>
          <w:sz w:val="30"/>
          <w:szCs w:val="30"/>
        </w:rPr>
        <w:t xml:space="preserve">Checklist: ik kan...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Terugrekenen uit een tabel: ik begrijp de uitleg en kan het voorbeeld narekenen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Speltheorie: Nash en dominantie: ik begrijp de uitleg en kan het voorbeeld narekenen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Externe effecten: ik begrijp de uitleg en kan het voorbeeld narekenen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6 Groenten – Uitleg voorkennis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2026-03-26T14:54:55.923Z</dcterms:created>
  <dcterms:modified xsi:type="dcterms:W3CDTF">2026-03-26T14:54:55.924Z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