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E2761"/>
          <w:sz w:val="48"/>
          <w:szCs w:val="48"/>
        </w:rPr>
        <w:t xml:space="preserve">Groenten</w:t>
      </w:r>
    </w:p>
    <w:p>
      <w:pPr>
        <w:spacing w:after="40"/>
        <w:jc w:val="center"/>
      </w:pPr>
      <w:r>
        <w:rPr>
          <w:rFonts w:ascii="Arial" w:cs="Arial" w:eastAsia="Arial" w:hAnsi="Arial"/>
          <w:color w:val="718096"/>
          <w:sz w:val="26"/>
          <w:szCs w:val="26"/>
        </w:rPr>
        <w:t xml:space="preserve">Opgave 6 Groenten – Uitleg vaardigheden</w:t>
      </w:r>
    </w:p>
    <w:p>
      <w:pPr>
        <w:spacing w:after="120"/>
        <w:jc w:val="center"/>
      </w:pPr>
      <w:r>
        <w:rPr>
          <w:rFonts w:ascii="Arial" w:cs="Arial" w:eastAsia="Arial" w:hAnsi="Arial"/>
          <w:i/>
          <w:iCs/>
          <w:color w:val="718096"/>
          <w:sz w:val="22"/>
          <w:szCs w:val="22"/>
        </w:rPr>
        <w:t xml:space="preserve">CE Economie 2025 Tijdvak 1</w:t>
      </w: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E67E22" w:sz="1"/>
              <w:left w:val="single" w:color="E67E22" w:sz="1"/>
              <w:bottom w:val="single" w:color="E67E22" w:sz="1"/>
              <w:right w:val="single" w:color="E67E22" w:sz="1"/>
            </w:tcBorders>
            <w:shd w:fill="E67E22" w:color="auto" w:val="clear"/>
            <w:tcMar>
              <w:top w:type="dxa" w:w="140"/>
              <w:left w:type="dxa" w:w="12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</w:t>
            </w:r>
          </w:p>
        </w:tc>
        <w:tc>
          <w:tcPr>
            <w:tcW w:type="dxa" w:w="8426"/>
            <w:tcBorders>
              <w:top w:val="single" w:color="E67E22" w:sz="1"/>
              <w:left w:val="single" w:color="E67E22" w:sz="1"/>
              <w:bottom w:val="single" w:color="E67E22" w:sz="1"/>
              <w:right w:val="single" w:color="E67E22" w:sz="1"/>
            </w:tcBorders>
            <w:shd w:fill="FEF5E7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BA6A1C"/>
                <w:sz w:val="28"/>
                <w:szCs w:val="28"/>
              </w:rPr>
              <w:t xml:space="preserve">Verzonken kosten beoordelen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E67E22"/>
                <w:sz w:val="18"/>
                <w:szCs w:val="18"/>
              </w:rPr>
              <w:t xml:space="preserve">Bedrijfseconomie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E67E22"/>
          <w:sz w:val="24"/>
          <w:szCs w:val="24"/>
        </w:rPr>
        <w:t xml:space="preserve">Waarom is dit belangrijk?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Verzonken kosten zijn kosten die je niet meer kunt terugkrijgen, ongeacht je toekomstige keuzes. De sleutelvraag: kan het goed alternatief worden aangewend?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E67E22"/>
          <w:sz w:val="24"/>
          <w:szCs w:val="24"/>
        </w:rPr>
        <w:t xml:space="preserve">Hoe doe je dit?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E67E22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Verzonken kosten = geen alternatieve aanwending mogelijk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Niet verzonken = goed kan verkocht/verhuurd/hergebruikt worden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E67E22"/>
          <w:sz w:val="24"/>
          <w:szCs w:val="24"/>
        </w:rPr>
        <w:t xml:space="preserve">Voorbeeld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Grond voor biologische teelt kan ook verkocht, verhuurd of voor andere teelt gebruikt worden → wél alternatief aanwendbaar → GEEN verzonken kosten.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EF5E7" w:sz="1"/>
              <w:left w:val="single" w:color="E67E22" w:sz="12"/>
              <w:bottom w:val="single" w:color="FEF5E7" w:sz="1"/>
              <w:right w:val="single" w:color="FEF5E7" w:sz="1"/>
            </w:tcBorders>
            <w:shd w:fill="FEF5E7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E67E22"/>
                <w:sz w:val="22"/>
                <w:szCs w:val="22"/>
              </w:rPr>
              <w:t xml:space="preserve">✨ Tip: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Vraag jezelf af: als het project mislukt, kun je het dan terugkrijgen of ergens anders voor gebruiken?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E67E22" w:sz="1"/>
              <w:left w:val="single" w:color="E67E22" w:sz="1"/>
              <w:bottom w:val="single" w:color="E67E22" w:sz="1"/>
              <w:right w:val="single" w:color="E67E22" w:sz="1"/>
            </w:tcBorders>
            <w:shd w:fill="E67E22" w:color="auto" w:val="clear"/>
            <w:tcMar>
              <w:top w:type="dxa" w:w="140"/>
              <w:left w:type="dxa" w:w="12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2</w:t>
            </w:r>
          </w:p>
        </w:tc>
        <w:tc>
          <w:tcPr>
            <w:tcW w:type="dxa" w:w="8426"/>
            <w:tcBorders>
              <w:top w:val="single" w:color="E67E22" w:sz="1"/>
              <w:left w:val="single" w:color="E67E22" w:sz="1"/>
              <w:bottom w:val="single" w:color="E67E22" w:sz="1"/>
              <w:right w:val="single" w:color="E67E22" w:sz="1"/>
            </w:tcBorders>
            <w:shd w:fill="FEF5E7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BA6A1C"/>
                <w:sz w:val="28"/>
                <w:szCs w:val="28"/>
              </w:rPr>
              <w:t xml:space="preserve">Vaste kosten uit pay-off matrix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E67E22"/>
                <w:sz w:val="18"/>
                <w:szCs w:val="18"/>
              </w:rPr>
              <w:t xml:space="preserve">Bedrijfseconomie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E67E22"/>
          <w:sz w:val="24"/>
          <w:szCs w:val="24"/>
        </w:rPr>
        <w:t xml:space="preserve">Waarom is dit belangrijk?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De pay-off matrix geeft winst en afzet. Met de verkoopprijs en variabele kosten kun je terugrekenen naar de vaste kosten.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E67E22"/>
          <w:sz w:val="24"/>
          <w:szCs w:val="24"/>
        </w:rPr>
        <w:t xml:space="preserve">Hoe doe je dit?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E67E22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TO = afzet × verkoopprijs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TVK = afzet × variabele kosten per stuk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TCK = TO – TVK – TW (winst uit matrix)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E67E22"/>
          <w:sz w:val="24"/>
          <w:szCs w:val="24"/>
        </w:rPr>
        <w:t xml:space="preserve">Voorbeeld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Boer B biologisch, A traditioneel: afzet=46.050, prijs=€3, VK=€1, winst=€75.000. TCK = 46.050×(3–1)−75.000 = €17.100. Stijging: (17.100−14.250)/14.250 = 20%.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EF5E7" w:sz="1"/>
              <w:left w:val="single" w:color="E67E22" w:sz="12"/>
              <w:bottom w:val="single" w:color="FEF5E7" w:sz="1"/>
              <w:right w:val="single" w:color="FEF5E7" w:sz="1"/>
            </w:tcBorders>
            <w:shd w:fill="FEF5E7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E67E22"/>
                <w:sz w:val="22"/>
                <w:szCs w:val="22"/>
              </w:rPr>
              <w:t xml:space="preserve">✨ Tip: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Lees de juiste cel uit de matrix: links van ; = boer A, rechts = boer B.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color="auto" w:val="clear"/>
            <w:tcMar>
              <w:top w:type="dxa" w:w="140"/>
              <w:left w:type="dxa" w:w="12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3</w:t>
            </w:r>
          </w:p>
        </w:tc>
        <w:tc>
          <w:tcPr>
            <w:tcW w:type="dxa" w:w="8426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EBF5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54360"/>
                <w:sz w:val="28"/>
                <w:szCs w:val="28"/>
              </w:rPr>
              <w:t xml:space="preserve">Nash-evenwichten vinden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1A5276"/>
                <w:sz w:val="18"/>
                <w:szCs w:val="18"/>
              </w:rPr>
              <w:t xml:space="preserve">Marktanalyse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Waarom is dit belangrijk?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Een Nash-evenwicht is een situatie waarin geen enkele speler eenzijdig kan verbeteren. Check dit per cel.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Hoe doe je dit?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1A5276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Per cel: kan A verbeteren door te wisselen? Kan B verbeteren?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Als GEEN van beiden kan verbeteren → Nash-evenwicht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Er kunnen meerdere Nash-evenwichten zijn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Voorbeeld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Traditioneel;Traditioneel (€80k;€80k): A wisselt naar bio → €75k (slechter). B wisselt → €75k (slechter). Geen verbetering → Nash. Biologisch;Biologisch (€92,9k;€92,9k): zelfde logica → ook Nash.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BF5FB" w:sz="1"/>
              <w:left w:val="single" w:color="1A5276" w:sz="12"/>
              <w:bottom w:val="single" w:color="EBF5FB" w:sz="1"/>
              <w:right w:val="single" w:color="EBF5FB" w:sz="1"/>
            </w:tcBorders>
            <w:shd w:fill="EBF5FB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✨ Tip: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Check ELKE cel systematisch. Twee Nash-evenwichten is normaal bij dit type opgave.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color="auto" w:val="clear"/>
            <w:tcMar>
              <w:top w:type="dxa" w:w="140"/>
              <w:left w:type="dxa" w:w="12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4</w:t>
            </w:r>
          </w:p>
        </w:tc>
        <w:tc>
          <w:tcPr>
            <w:tcW w:type="dxa" w:w="8426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EBF5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54360"/>
                <w:sz w:val="28"/>
                <w:szCs w:val="28"/>
              </w:rPr>
              <w:t xml:space="preserve">Externe effecten en dominante strategie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1A5276"/>
                <w:sz w:val="18"/>
                <w:szCs w:val="18"/>
              </w:rPr>
              <w:t xml:space="preserve">Marktanalyse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Waarom is dit belangrijk?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Bij afzetmaximalisatie kijken boeren naar kg, niet naar winst. De dominante strategie kan anders zijn dan bij winstmaximalisatie.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Hoe doe je dit?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1A5276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Afzetmaximalisatie: kies de strategie met de hoogste afzet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Vergelijk kg-waarden in de matrix (niet euro’s)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Traditioneel: 65.000 &gt; 46.050 en 70.000 &gt; 55.000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Voorbeeld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Beide boeren kiezen traditioneel (hogere afzet). Traditionele teelt = milieuschade. Negatieve externe effecten dalen NIET.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BF5FB" w:sz="1"/>
              <w:left w:val="single" w:color="1A5276" w:sz="12"/>
              <w:bottom w:val="single" w:color="EBF5FB" w:sz="1"/>
              <w:right w:val="single" w:color="EBF5FB" w:sz="1"/>
            </w:tcBorders>
            <w:shd w:fill="EBF5FB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✨ Tip: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Vergeet niet de expliciete conclusie over externe effecten. Alleen de strategie noemen is niet genoeg.</w:t>
            </w:r>
          </w:p>
        </w:tc>
      </w:tr>
    </w:tbl>
    <w:p>
      <w:pPr>
        <w:spacing w:after="8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18096"/>
        <w:sz w:val="18"/>
        <w:szCs w:val="18"/>
      </w:rPr>
      <w:t xml:space="preserve">Pagina </w:t>
    </w:r>
    <w:r>
      <w:rPr>
        <w:rFonts w:ascii="Arial" w:cs="Arial" w:eastAsia="Arial" w:hAnsi="Arial"/>
        <w:color w:val="71809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718096"/>
        <w:sz w:val="18"/>
        <w:szCs w:val="18"/>
      </w:rPr>
      <w:t xml:space="preserve">Opgave 6 Groenten – Uitleg vaardigheden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2026-03-26T14:54:55.867Z</dcterms:created>
  <dcterms:modified xsi:type="dcterms:W3CDTF">2026-03-26T14:54:55.867Z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