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E2761"/>
          <w:sz w:val="28"/>
          <w:szCs w:val="28"/>
        </w:rPr>
        <w:t xml:space="preserve">Pensioenfondsen starten met invaren naar nieuw stelsel</w:t>
      </w:r>
    </w:p>
    <w:p>
      <w:pPr>
        <w:spacing w:after="100"/>
      </w:pPr>
      <w:r>
        <w:rPr>
          <w:rFonts w:ascii="Arial" w:cs="Arial" w:eastAsia="Arial" w:hAnsi="Arial"/>
          <w:i/>
          <w:iCs/>
          <w:color w:val="718096"/>
          <w:sz w:val="18"/>
          <w:szCs w:val="18"/>
        </w:rPr>
        <w:t xml:space="preserve">Bron: RTL Nieuws, januari 2026</w:t>
      </w:r>
    </w:p>
    <w:p>
      <w:pPr>
        <w:spacing w:after="80"/>
      </w:pPr>
      <w:r>
        <w:rPr>
          <w:rFonts w:ascii="Arial" w:cs="Arial" w:eastAsia="Arial" w:hAnsi="Arial"/>
          <w:color w:val="2D3748"/>
          <w:sz w:val="21"/>
          <w:szCs w:val="21"/>
        </w:rPr>
        <w:t xml:space="preserve">Nederlandse pensioenfondsen zijn begonnen met de overgang naar het nieuwe pensioenstelsel onder de Wet toekomst pensioenen (Wtp). ABP en PFZW, de twee grootste fondsen, hebben aangekondigd dat ze in 2026 overstappen. In het nieuwe stelsel krijgt elke deelnemer een persoonlijk pensioenpotje. De dekkingsgraad speelt dan geen rol meer. Vakbonden maken zich zorgen over de koopkracht van gepensioneerden tijdens de overgang.</w:t>
      </w:r>
    </w:p>
    <w:p>
      <w:pPr>
        <w:spacing w:after="40"/>
      </w:pPr>
    </w:p>
    <w:p>
      <w:pPr>
        <w:spacing w:after="60"/>
      </w:pPr>
      <w:r>
        <w:rPr>
          <w:rFonts w:ascii="Arial" w:cs="Arial" w:eastAsia="Arial" w:hAnsi="Arial"/>
          <w:b/>
          <w:bCs/>
          <w:color w:val="1E2761"/>
          <w:sz w:val="24"/>
          <w:szCs w:val="24"/>
        </w:rPr>
        <w:t xml:space="preserve">Vragen</w:t>
      </w:r>
    </w:p>
    <w:p>
      <w:pPr>
        <w:spacing w:after="50"/>
      </w:pPr>
      <w:r>
        <w:rPr>
          <w:rFonts w:ascii="Arial" w:cs="Arial" w:eastAsia="Arial" w:hAnsi="Arial"/>
          <w:b/>
          <w:bCs/>
          <w:color w:val="1E2761"/>
          <w:sz w:val="21"/>
          <w:szCs w:val="21"/>
        </w:rPr>
        <w:t xml:space="preserve">1.  </w:t>
      </w:r>
      <w:r>
        <w:rPr>
          <w:rFonts w:ascii="Arial" w:cs="Arial" w:eastAsia="Arial" w:hAnsi="Arial"/>
          <w:color w:val="2D3748"/>
          <w:sz w:val="21"/>
          <w:szCs w:val="21"/>
        </w:rPr>
        <w:t xml:space="preserve">In het nieuwe pensioenstelsel krijgt elke deelnemer een persoonlijk / collectief potje.</w:t>
      </w:r>
    </w:p>
    <w:p>
      <w:pPr>
        <w:spacing w:after="50"/>
      </w:pPr>
      <w:r>
        <w:rPr>
          <w:rFonts w:ascii="Arial" w:cs="Arial" w:eastAsia="Arial" w:hAnsi="Arial"/>
          <w:b/>
          <w:bCs/>
          <w:color w:val="1E2761"/>
          <w:sz w:val="21"/>
          <w:szCs w:val="21"/>
        </w:rPr>
        <w:t xml:space="preserve">2.  </w:t>
      </w:r>
      <w:r>
        <w:rPr>
          <w:rFonts w:ascii="Arial" w:cs="Arial" w:eastAsia="Arial" w:hAnsi="Arial"/>
          <w:color w:val="2D3748"/>
          <w:sz w:val="21"/>
          <w:szCs w:val="21"/>
        </w:rPr>
        <w:t xml:space="preserve">Het huidige stelsel gebruikt het omslagstelsel / kapitaaldekkingsstelsel voor het aanvullend pensioen.</w:t>
      </w:r>
    </w:p>
    <w:p>
      <w:pPr>
        <w:spacing w:after="50"/>
      </w:pPr>
      <w:r>
        <w:rPr>
          <w:rFonts w:ascii="Arial" w:cs="Arial" w:eastAsia="Arial" w:hAnsi="Arial"/>
          <w:b/>
          <w:bCs/>
          <w:color w:val="1E2761"/>
          <w:sz w:val="21"/>
          <w:szCs w:val="21"/>
        </w:rPr>
        <w:t xml:space="preserve">3.  </w:t>
      </w:r>
      <w:r>
        <w:rPr>
          <w:rFonts w:ascii="Arial" w:cs="Arial" w:eastAsia="Arial" w:hAnsi="Arial"/>
          <w:color w:val="2D3748"/>
          <w:sz w:val="21"/>
          <w:szCs w:val="21"/>
        </w:rPr>
        <w:t xml:space="preserve">Noem twee partijen die belang hebben bij de hoogte van de dekkingsgraad.</w:t>
      </w:r>
    </w:p>
    <w:p>
      <w:pPr>
        <w:spacing w:after="50"/>
      </w:pPr>
      <w:r>
        <w:rPr>
          <w:rFonts w:ascii="Arial" w:cs="Arial" w:eastAsia="Arial" w:hAnsi="Arial"/>
          <w:b/>
          <w:bCs/>
          <w:color w:val="1E2761"/>
          <w:sz w:val="21"/>
          <w:szCs w:val="21"/>
        </w:rPr>
        <w:t xml:space="preserve">4.  </w:t>
      </w:r>
      <w:r>
        <w:rPr>
          <w:rFonts w:ascii="Arial" w:cs="Arial" w:eastAsia="Arial" w:hAnsi="Arial"/>
          <w:color w:val="2D3748"/>
          <w:sz w:val="21"/>
          <w:szCs w:val="21"/>
        </w:rPr>
        <w:t xml:space="preserve">Bereken hoeveel vermogen ABP heeft als de toekomstige verplichtingen €500 miljard bedragen (dekkingsgraad = 112%).</w:t>
      </w:r>
    </w:p>
    <w:p>
      <w:pPr>
        <w:spacing w:after="50"/>
      </w:pPr>
      <w:r>
        <w:rPr>
          <w:rFonts w:ascii="Arial" w:cs="Arial" w:eastAsia="Arial" w:hAnsi="Arial"/>
          <w:b/>
          <w:bCs/>
          <w:color w:val="1E2761"/>
          <w:sz w:val="21"/>
          <w:szCs w:val="21"/>
        </w:rPr>
        <w:t xml:space="preserve">5.  </w:t>
      </w:r>
      <w:r>
        <w:rPr>
          <w:rFonts w:ascii="Arial" w:cs="Arial" w:eastAsia="Arial" w:hAnsi="Arial"/>
          <w:color w:val="2D3748"/>
          <w:sz w:val="21"/>
          <w:szCs w:val="21"/>
        </w:rPr>
        <w:t xml:space="preserve">Bekijk de grafiek. Welk fonds heeft de hoogste dekkingsgraad?</w:t>
      </w:r>
    </w:p>
    <w:p>
      <w:pPr>
        <w:spacing w:after="50"/>
      </w:pPr>
      <w:r>
        <w:rPr>
          <w:rFonts w:ascii="Arial" w:cs="Arial" w:eastAsia="Arial" w:hAnsi="Arial"/>
          <w:b/>
          <w:bCs/>
          <w:color w:val="1E2761"/>
          <w:sz w:val="21"/>
          <w:szCs w:val="21"/>
        </w:rPr>
        <w:t xml:space="preserve">6.  </w:t>
      </w:r>
      <w:r>
        <w:rPr>
          <w:rFonts w:ascii="Arial" w:cs="Arial" w:eastAsia="Arial" w:hAnsi="Arial"/>
          <w:color w:val="2D3748"/>
          <w:sz w:val="21"/>
          <w:szCs w:val="21"/>
        </w:rPr>
        <w:t xml:space="preserve">Leg uit waarom een stijgende rente gunstig is voor de dekkingsgraad van pensioenfondsen.</w:t>
      </w:r>
    </w:p>
    <w:p>
      <w:pPr>
        <w:spacing w:after="50"/>
      </w:pPr>
      <w:r>
        <w:rPr>
          <w:rFonts w:ascii="Arial" w:cs="Arial" w:eastAsia="Arial" w:hAnsi="Arial"/>
          <w:b/>
          <w:bCs/>
          <w:color w:val="1E2761"/>
          <w:sz w:val="21"/>
          <w:szCs w:val="21"/>
        </w:rPr>
        <w:t xml:space="preserve">7.  </w:t>
      </w:r>
      <w:r>
        <w:rPr>
          <w:rFonts w:ascii="Arial" w:cs="Arial" w:eastAsia="Arial" w:hAnsi="Arial"/>
          <w:color w:val="2D3748"/>
          <w:sz w:val="21"/>
          <w:szCs w:val="21"/>
        </w:rPr>
        <w:t xml:space="preserve">Bedenk een voordeel en een nadeel van het nieuwe pensioenstelsel met persoonlijke potjes.</w:t>
      </w:r>
    </w:p>
    <w:p/>
    <w:p>
      <w:pPr>
        <w:spacing w:after="100"/>
      </w:pPr>
      <w:r>
        <w:rPr>
          <w:rFonts w:ascii="Arial" w:cs="Arial" w:eastAsia="Arial" w:hAnsi="Arial"/>
          <w:b/>
          <w:bCs/>
          <w:color w:val="1E2761"/>
          <w:sz w:val="28"/>
          <w:szCs w:val="28"/>
        </w:rPr>
        <w:t xml:space="preserve">Antwoorden</w:t>
      </w:r>
    </w:p>
    <w:p>
      <w:pPr>
        <w:spacing w:after="60"/>
      </w:pPr>
      <w:r>
        <w:rPr>
          <w:rFonts w:ascii="Arial" w:cs="Arial" w:eastAsia="Arial" w:hAnsi="Arial"/>
          <w:b/>
          <w:bCs/>
          <w:color w:val="1E8449"/>
          <w:sz w:val="21"/>
          <w:szCs w:val="21"/>
        </w:rPr>
        <w:t xml:space="preserve">1.  </w:t>
      </w:r>
      <w:r>
        <w:rPr>
          <w:rFonts w:ascii="Arial" w:cs="Arial" w:eastAsia="Arial" w:hAnsi="Arial"/>
          <w:color w:val="2D3748"/>
          <w:sz w:val="21"/>
          <w:szCs w:val="21"/>
        </w:rPr>
        <w:t xml:space="preserve">Persoonlijk.</w:t>
      </w:r>
    </w:p>
    <w:p>
      <w:pPr>
        <w:spacing w:after="60"/>
      </w:pPr>
      <w:r>
        <w:rPr>
          <w:rFonts w:ascii="Arial" w:cs="Arial" w:eastAsia="Arial" w:hAnsi="Arial"/>
          <w:b/>
          <w:bCs/>
          <w:color w:val="1E8449"/>
          <w:sz w:val="21"/>
          <w:szCs w:val="21"/>
        </w:rPr>
        <w:t xml:space="preserve">2.  </w:t>
      </w:r>
      <w:r>
        <w:rPr>
          <w:rFonts w:ascii="Arial" w:cs="Arial" w:eastAsia="Arial" w:hAnsi="Arial"/>
          <w:color w:val="2D3748"/>
          <w:sz w:val="21"/>
          <w:szCs w:val="21"/>
        </w:rPr>
        <w:t xml:space="preserve">Kapitaaldekkingsstelsel.</w:t>
      </w:r>
    </w:p>
    <w:p>
      <w:pPr>
        <w:spacing w:after="60"/>
      </w:pPr>
      <w:r>
        <w:rPr>
          <w:rFonts w:ascii="Arial" w:cs="Arial" w:eastAsia="Arial" w:hAnsi="Arial"/>
          <w:b/>
          <w:bCs/>
          <w:color w:val="1E8449"/>
          <w:sz w:val="21"/>
          <w:szCs w:val="21"/>
        </w:rPr>
        <w:t xml:space="preserve">3.  </w:t>
      </w:r>
      <w:r>
        <w:rPr>
          <w:rFonts w:ascii="Arial" w:cs="Arial" w:eastAsia="Arial" w:hAnsi="Arial"/>
          <w:color w:val="2D3748"/>
          <w:sz w:val="21"/>
          <w:szCs w:val="21"/>
        </w:rPr>
        <w:t xml:space="preserve">Werknemers (premie), gepensioneerden (uitkering), werkgevers (premieafdracht), toezichthouder (DNB).</w:t>
      </w:r>
    </w:p>
    <w:p>
      <w:pPr>
        <w:spacing w:after="60"/>
      </w:pPr>
      <w:r>
        <w:rPr>
          <w:rFonts w:ascii="Arial" w:cs="Arial" w:eastAsia="Arial" w:hAnsi="Arial"/>
          <w:b/>
          <w:bCs/>
          <w:color w:val="1E8449"/>
          <w:sz w:val="21"/>
          <w:szCs w:val="21"/>
        </w:rPr>
        <w:t xml:space="preserve">4.  </w:t>
      </w:r>
      <w:r>
        <w:rPr>
          <w:rFonts w:ascii="Arial" w:cs="Arial" w:eastAsia="Arial" w:hAnsi="Arial"/>
          <w:color w:val="2D3748"/>
          <w:sz w:val="21"/>
          <w:szCs w:val="21"/>
        </w:rPr>
        <w:t xml:space="preserve">Vermogen = 112% × €500 mld / 100 = €560 miljard.</w:t>
      </w:r>
    </w:p>
    <w:p>
      <w:pPr>
        <w:spacing w:after="60"/>
      </w:pPr>
      <w:r>
        <w:rPr>
          <w:rFonts w:ascii="Arial" w:cs="Arial" w:eastAsia="Arial" w:hAnsi="Arial"/>
          <w:b/>
          <w:bCs/>
          <w:color w:val="1E8449"/>
          <w:sz w:val="21"/>
          <w:szCs w:val="21"/>
        </w:rPr>
        <w:t xml:space="preserve">5.  </w:t>
      </w:r>
      <w:r>
        <w:rPr>
          <w:rFonts w:ascii="Arial" w:cs="Arial" w:eastAsia="Arial" w:hAnsi="Arial"/>
          <w:color w:val="2D3748"/>
          <w:sz w:val="21"/>
          <w:szCs w:val="21"/>
        </w:rPr>
        <w:t xml:space="preserve">PFZW met 118%.</w:t>
      </w:r>
    </w:p>
    <w:p>
      <w:pPr>
        <w:spacing w:after="60"/>
      </w:pPr>
      <w:r>
        <w:rPr>
          <w:rFonts w:ascii="Arial" w:cs="Arial" w:eastAsia="Arial" w:hAnsi="Arial"/>
          <w:b/>
          <w:bCs/>
          <w:color w:val="1E8449"/>
          <w:sz w:val="21"/>
          <w:szCs w:val="21"/>
        </w:rPr>
        <w:t xml:space="preserve">6.  </w:t>
      </w:r>
      <w:r>
        <w:rPr>
          <w:rFonts w:ascii="Arial" w:cs="Arial" w:eastAsia="Arial" w:hAnsi="Arial"/>
          <w:color w:val="2D3748"/>
          <w:sz w:val="21"/>
          <w:szCs w:val="21"/>
        </w:rPr>
        <w:t xml:space="preserve">Hogere rente → lagere contante waarde van toekomstige verplichtingen (noemer daalt) → dekkingsgraad = vermogen / verplichtingen stijgt.</w:t>
      </w:r>
    </w:p>
    <w:p>
      <w:pPr>
        <w:spacing w:after="60"/>
      </w:pPr>
      <w:r>
        <w:rPr>
          <w:rFonts w:ascii="Arial" w:cs="Arial" w:eastAsia="Arial" w:hAnsi="Arial"/>
          <w:b/>
          <w:bCs/>
          <w:color w:val="1E8449"/>
          <w:sz w:val="21"/>
          <w:szCs w:val="21"/>
        </w:rPr>
        <w:t xml:space="preserve">7.  </w:t>
      </w:r>
      <w:r>
        <w:rPr>
          <w:rFonts w:ascii="Arial" w:cs="Arial" w:eastAsia="Arial" w:hAnsi="Arial"/>
          <w:color w:val="2D3748"/>
          <w:sz w:val="21"/>
          <w:szCs w:val="21"/>
        </w:rPr>
        <w:t xml:space="preserve">Voordeel: transparanter, je ziet wat je hebt. Nadeel: meer risico voor de individuele deelnemer, geen solidariteit tussen generaties.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6"/>
        <w:szCs w:val="16"/>
      </w:rPr>
      <w:t xml:space="preserve">Pagina </w:t>
    </w:r>
    <w:r>
      <w:rPr>
        <w:rFonts w:ascii="Arial" w:cs="Arial" w:eastAsia="Arial" w:hAnsi="Arial"/>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6"/>
        <w:szCs w:val="16"/>
      </w:rPr>
      <w:t xml:space="preserve">Opgave 2 Concurreren met zekerheid – Nieuws met visual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3e7ed52145f4c2db6bcfcd16b028d4a6d7781b6.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2026-03-26T15:07:08.820Z</dcterms:created>
  <dcterms:modified xsi:type="dcterms:W3CDTF">2026-03-26T15:07:08.820Z</dcterms:modified>
</cp:coreProperties>
</file>

<file path=docProps/custom.xml><?xml version="1.0" encoding="utf-8"?>
<Properties xmlns="http://schemas.openxmlformats.org/officeDocument/2006/custom-properties" xmlns:vt="http://schemas.openxmlformats.org/officeDocument/2006/docPropsVTypes"/>
</file>