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3.1.1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Markt en marktstructuur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EBF5FB"/>
                <w:sz w:val="22"/>
                <w:szCs w:val="22"/>
              </w:rPr>
              <w:t xml:space="preserve">De bouwstenen van elke markt in één overzicht</w:t>
            </w: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10466"/>
            <w:gridSpan w:val="3"/>
            <w:tcBorders>
              <w:top w:val="none" w:color="FFFFFF" w:sz="0"/>
              <w:left w:val="none" w:color="FFFFFF" w:sz="0"/>
              <w:bottom w:val="single" w:color="1A5276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Soort markt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Waar ontmoeten vragers en aanbieders elkaar?</w:t>
            </w:r>
          </w:p>
        </w:tc>
      </w:tr>
      <w:tr>
        <w:tc>
          <w:tcPr>
            <w:tcW w:type="dxa" w:w="5133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</w:rPr>
              <w:t xml:space="preserve">Concrete markt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Fysieke plek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Vismarkt • Winkel • Veiling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8096"/>
                <w:sz w:val="20"/>
                <w:szCs w:val="20"/>
              </w:rPr>
              <w:t xml:space="preserve">vs.</w:t>
            </w:r>
          </w:p>
        </w:tc>
        <w:tc>
          <w:tcPr>
            <w:tcW w:type="dxa" w:w="5133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2"/>
                <w:szCs w:val="22"/>
              </w:rPr>
              <w:t xml:space="preserve">Abstracte markt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Geen fysieke locatie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Huizenmarkt • Oliemarkt • Internet</w:t>
            </w: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10466"/>
            <w:gridSpan w:val="3"/>
            <w:tcBorders>
              <w:top w:val="none" w:color="FFFFFF" w:sz="0"/>
              <w:left w:val="none" w:color="FFFFFF" w:sz="0"/>
              <w:bottom w:val="single" w:color="1E8449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Producttype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Hoe ziet de consument het product?</w:t>
            </w:r>
          </w:p>
        </w:tc>
      </w:tr>
      <w:tr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86A3B"/>
                <w:sz w:val="22"/>
                <w:szCs w:val="22"/>
              </w:rPr>
              <w:t xml:space="preserve">Homogeen product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Geen verschil → prijs is alles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Benzine • Elektriciteit • Tarwe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8096"/>
                <w:sz w:val="20"/>
                <w:szCs w:val="20"/>
              </w:rPr>
              <w:t xml:space="preserve">vs.</w:t>
            </w:r>
          </w:p>
        </w:tc>
        <w:tc>
          <w:tcPr>
            <w:tcW w:type="dxa" w:w="5133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2"/>
                <w:szCs w:val="22"/>
              </w:rPr>
              <w:t xml:space="preserve">Heterogeen product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Wél verschil → merk &amp; kwaliteit tellen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Auto’s • Restaurants • Telefoons</w:t>
            </w: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E67E22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Toetredingsdrempels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Hoe makkelijk kunnen nieuwe bedrijven toetreden?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D9534F" w:sz="6"/>
              <w:left w:val="single" w:color="FDE8E8" w:sz="1"/>
              <w:bottom w:val="single" w:color="FDE8E8" w:sz="1"/>
              <w:right w:val="single" w:color="FDE8E8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1"/>
                <w:szCs w:val="21"/>
              </w:rPr>
              <w:t xml:space="preserve">⛔  Hoge drempels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Hoog startkapitaal • Vergunningen
Naamsbekendheid • Netwerk nodig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8096"/>
                <w:sz w:val="20"/>
                <w:szCs w:val="20"/>
              </w:rPr>
              <w:t xml:space="preserve">vs.</w:t>
            </w:r>
          </w:p>
        </w:tc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✅  Lage drempels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Weinig kapitaal • Geen vergunning
Bijles • Freelance • Straatverkoop</w:t>
            </w: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E2761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E2761"/>
                <w:sz w:val="24"/>
                <w:szCs w:val="24"/>
              </w:rPr>
              <w:t xml:space="preserve">De twee ketens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Het kernverband van dit hoofdstuk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9534F" w:sz="6"/>
              <w:left w:val="single" w:color="FDE8E8" w:sz="1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Hoge drempels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  ➡ 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Weinig aanbieders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  ➡ 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Minder concurrentie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  ➡  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Hogere prijs  ⚠</w:t>
            </w:r>
          </w:p>
        </w:tc>
      </w:tr>
    </w:tbl>
    <w:p>
      <w:pPr>
        <w:spacing w:after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Lage drempels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  ➡ 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Veel aanbieders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  ➡ 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Meer concurrentie</w:t>
            </w: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   ➡ 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Lagere prijs  ✅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▶ Voorbeeld: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Toen KPN een monopolie had op telecom, waren de prijzen hoog (hoge drempels → weinig concurrentie). Na toetreding van Vodafone en T-Mobile daalden de prijzen (lagere drempels → meer concurrentie).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2026-03-23T20:27:53.116Z</dcterms:created>
  <dcterms:modified xsi:type="dcterms:W3CDTF">2026-03-23T20:27:53.116Z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