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700" w:hRule="atLeas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8"/>
                <w:szCs w:val="28"/>
              </w:rPr>
              <w:t xml:space="preserve">3.1.2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INFOGRAPHIC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MARKTVORMEN</w:t>
            </w:r>
          </w:p>
        </w:tc>
      </w:tr>
      <w:tr>
        <w:trPr>
          <w:trHeight w:val="60" w:hRule="exac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380" w:hRule="atLeas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SPECTRUM VAN MARKTVORMEN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Van weinig naar veel concurrentie  ───────────────────────────▶</w:t>
            </w:r>
          </w:p>
        </w:tc>
      </w:tr>
      <w:tr>
        <w:trPr>
          <w:trHeight w:val="420" w:hRule="atLeast"/>
        </w:trPr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BA6A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MONOPOLIE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CC"/>
                <w:sz w:val="16"/>
                <w:szCs w:val="16"/>
              </w:rPr>
              <w:t xml:space="preserve">1 aanbieder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OLIGOPOLIE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EFDF"/>
                <w:sz w:val="16"/>
                <w:szCs w:val="16"/>
              </w:rPr>
              <w:t xml:space="preserve">Weinig aanbieders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MONOPOL. CONC.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5FB"/>
                <w:sz w:val="16"/>
                <w:szCs w:val="16"/>
              </w:rPr>
              <w:t xml:space="preserve">Veel aanbieders</w:t>
            </w:r>
          </w:p>
        </w:tc>
        <w:tc>
          <w:tcPr>
            <w:tcW w:type="dxa" w:w="2678"/>
            <w:tcBorders>
              <w:top w:val="none" w:sz="0"/>
              <w:left w:val="none" w:sz="0"/>
              <w:bottom w:val="none" w:sz="0"/>
              <w:right w:val="none" w:sz="0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VOLKOMEN CONC.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BF5FB"/>
                <w:sz w:val="16"/>
                <w:szCs w:val="16"/>
              </w:rPr>
              <w:t xml:space="preserve">Zeer veel aanbieders</w:t>
            </w:r>
          </w:p>
        </w:tc>
      </w:tr>
      <w:tr>
        <w:trPr>
          <w:trHeight w:val="300" w:hRule="atLeast"/>
        </w:trPr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6A1C"/>
                <w:sz w:val="16"/>
                <w:szCs w:val="16"/>
              </w:rPr>
              <w:t xml:space="preserve">Prijszetter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16"/>
                <w:szCs w:val="16"/>
              </w:rPr>
              <w:t xml:space="preserve">Enige invloed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Weinig invloed</w:t>
            </w:r>
          </w:p>
        </w:tc>
        <w:tc>
          <w:tcPr>
            <w:tcW w:type="dxa" w:w="2678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16"/>
                <w:szCs w:val="16"/>
              </w:rPr>
              <w:t xml:space="preserve">Prijsnemer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single" w:color="E2E8F0" w:sz="1"/>
          <w:insideV w:val="single" w:color="E2E8F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rHeight w:val="38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KENMERK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BA6A1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Monopolie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Oligopolie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Mon. conc.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Volk. conc.</w:t>
            </w:r>
          </w:p>
        </w:tc>
      </w:tr>
      <w:tr>
        <w:trPr>
          <w:trHeight w:val="34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Aanbieders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1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Weinig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Veel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Zeer veel</w:t>
            </w:r>
          </w:p>
        </w:tc>
      </w:tr>
      <w:tr>
        <w:trPr>
          <w:trHeight w:val="34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Product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Uniek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Hom./Het.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Heterogeen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Homogeen</w:t>
            </w:r>
          </w:p>
        </w:tc>
      </w:tr>
      <w:tr>
        <w:trPr>
          <w:trHeight w:val="34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Toetreding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Geblokkeerd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Moeilijk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Vrij makkelijk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Vrij</w:t>
            </w:r>
          </w:p>
        </w:tc>
      </w:tr>
      <w:tr>
        <w:trPr>
          <w:trHeight w:val="34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Prijsinvloed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Zeer hoog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Enig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Weinig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Geen</w:t>
            </w:r>
          </w:p>
        </w:tc>
      </w:tr>
      <w:tr>
        <w:trPr>
          <w:trHeight w:val="340" w:hRule="atLeast"/>
        </w:trP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Voorbeeld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NS (trein)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KPN/Voda/T-M</w:t>
            </w:r>
          </w:p>
        </w:tc>
        <w:tc>
          <w:tcPr>
            <w:tcW w:type="dxa" w:w="2151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Restaurants</w:t>
            </w:r>
          </w:p>
        </w:tc>
        <w:tc>
          <w:tcPr>
            <w:tcW w:type="dxa" w:w="2153"/>
            <w:tcBorders>
              <w:top w:val="none" w:sz="0"/>
              <w:left w:val="none" w:sz="0"/>
              <w:bottom w:val="none" w:sz="0"/>
              <w:right w:val="none" w:sz="0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Tarweboeren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4"/>
        </w:tblBorders>
        <w:tblLayout w:type="fixed"/>
      </w:tblPr>
      <w:tblGrid>
        <w:gridCol w:w="100"/>
        <w:gridCol w:w="100"/>
      </w:tblGrid>
      <w:tr>
        <w:trPr>
          <w:trHeight w:val="360" w:hRule="atLeas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20"/>
                <w:szCs w:val="20"/>
              </w:rPr>
              <w:t xml:space="preserve">OLIGOPOLIE: TWEE VARIANTEN</w:t>
            </w:r>
          </w:p>
        </w:tc>
      </w:tr>
      <w:tr>
        <w:trPr>
          <w:trHeight w:val="700" w:hRule="atLeast"/>
        </w:trPr>
        <w:tc>
          <w:tcPr>
            <w:tcW w:type="dxa" w:w="5353"/>
            <w:tcBorders>
              <w:top w:val="none" w:sz="0"/>
              <w:left w:val="none" w:sz="0"/>
              <w:bottom w:val="none" w:sz="0"/>
              <w:right w:val="none" w:sz="0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18"/>
                <w:szCs w:val="18"/>
              </w:rPr>
              <w:t xml:space="preserve">Homogeen oligopolie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Zelfde product in ogen consument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Concurrentie op prijs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Bijv. benzinestations</w:t>
            </w:r>
          </w:p>
        </w:tc>
        <w:tc>
          <w:tcPr>
            <w:tcW w:type="dxa" w:w="5353"/>
            <w:tcBorders>
              <w:top w:val="none" w:sz="0"/>
              <w:left w:val="none" w:sz="0"/>
              <w:bottom w:val="none" w:sz="0"/>
              <w:right w:val="none" w:sz="0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18"/>
                <w:szCs w:val="18"/>
              </w:rPr>
              <w:t xml:space="preserve">Heterogeen oligopolie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Verschillend product in ogen consument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6"/>
                <w:szCs w:val="16"/>
              </w:rPr>
              <w:t xml:space="preserve">Concurrentie op merk en service</w:t>
            </w:r>
          </w:p>
          <w:p>
            <w:pPr>
              <w:spacing w:after="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6"/>
                <w:szCs w:val="16"/>
              </w:rPr>
              <w:t xml:space="preserve">Bijv. telecomaanbieders</w:t>
            </w:r>
          </w:p>
        </w:tc>
      </w:tr>
    </w:tbl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/>
      </w:r>
    </w:p>
    <w:tbl>
      <w:tblPr>
        <w:tblW w:type="dxa" w:w="10706"/>
        <w:tblBorders>
          <w:top w:val="none"/>
          <w:left w:val="none"/>
          <w:bottom w:val="none"/>
          <w:right w:val="none"/>
          <w:insideH w:val="none"/>
          <w:insideV w:val="single" w:color="FFFFFF" w:sz="3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340" w:hRule="atLeas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 xml:space="preserve">STAPPENPLAN: MARKTVORM BEPALEN</w:t>
            </w:r>
          </w:p>
        </w:tc>
      </w:tr>
      <w:tr>
        <w:trPr>
          <w:trHeight w:val="580" w:hRule="atLeast"/>
        </w:trPr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Tel de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aanbieders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Homogeen of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heterogeen?</w:t>
            </w:r>
          </w:p>
        </w:tc>
        <w:tc>
          <w:tcPr>
            <w:tcW w:type="dxa" w:w="2676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Toetreedings-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drempels?</w:t>
            </w:r>
          </w:p>
        </w:tc>
        <w:tc>
          <w:tcPr>
            <w:tcW w:type="dxa" w:w="2678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Combineer =</w:t>
            </w:r>
          </w:p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marktvorm!</w:t>
            </w:r>
          </w:p>
        </w:tc>
      </w:tr>
      <w:tr>
        <w:trPr>
          <w:trHeight w:val="100" w:hRule="exac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107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20"/>
                <w:szCs w:val="20"/>
              </w:rPr>
              <w:t xml:space="preserve">CONCURRENTIE: VOORDELEN VS. RISICO'S</w:t>
            </w:r>
          </w:p>
        </w:tc>
      </w:tr>
      <w:tr>
        <w:trPr>
          <w:trHeight w:val="620" w:hRule="atLeast"/>
        </w:trPr>
        <w:tc>
          <w:tcPr>
            <w:tcW w:type="dxa" w:w="5353"/>
            <w:tcBorders>
              <w:top w:val="none" w:sz="0"/>
              <w:left w:val="none" w:sz="0"/>
              <w:bottom w:val="none" w:sz="0"/>
              <w:right w:val="none" w:sz="0"/>
            </w:tcBorders>
            <w:shd w:fill="E8F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6A3B"/>
                <w:sz w:val="18"/>
                <w:szCs w:val="18"/>
              </w:rPr>
              <w:t xml:space="preserve">Voordelen (veel concurrentie)</w:t>
            </w:r>
          </w:p>
          <w:p>
            <w:pPr>
              <w:spacing w:after="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✓  Lagere prijzen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✓  Meer innovatie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✓  Meer keuze voor consument</w:t>
            </w:r>
          </w:p>
        </w:tc>
        <w:tc>
          <w:tcPr>
            <w:tcW w:type="dxa" w:w="5353"/>
            <w:tcBorders>
              <w:top w:val="none" w:sz="0"/>
              <w:left w:val="none" w:sz="0"/>
              <w:bottom w:val="none" w:sz="0"/>
              <w:right w:val="none" w:sz="0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534F"/>
                <w:sz w:val="18"/>
                <w:szCs w:val="18"/>
              </w:rPr>
              <w:t xml:space="preserve">Risico's (weinig concurrentie)</w:t>
            </w:r>
          </w:p>
          <w:p>
            <w:pPr>
              <w:spacing w:after="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✗  Hogere prijzen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✗  Minder innovatie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6"/>
                <w:szCs w:val="16"/>
              </w:rPr>
              <w:t xml:space="preserve">✗  Kartelvorming mogelijk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2026-03-23T20:50:13.904Z</dcterms:created>
  <dcterms:modified xsi:type="dcterms:W3CDTF">2026-03-23T20:50:13.904Z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