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Marktvormen</w:t>
      </w:r>
    </w:p>
    <w:p>
      <w:pPr>
        <w:spacing w:after="40"/>
        <w:jc w:val="center"/>
      </w:pPr>
      <w:r>
        <w:rPr>
          <w:rFonts w:ascii="Arial" w:cs="Arial" w:eastAsia="Arial" w:hAnsi="Arial"/>
          <w:color w:val="718096"/>
          <w:sz w:val="26"/>
          <w:szCs w:val="26"/>
        </w:rPr>
        <w:t xml:space="preserve">Basisopgaven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veer tussen Harlingen, Vlieland en Terschelling’.</w:t>
            </w:r>
          </w:p>
        </w:tc>
      </w:tr>
    </w:tbl>
    <w:p>
      <w:pPr>
        <w:spacing w:after="80"/>
      </w:pPr>
    </w:p>
    <w:p>
      <w:pPr>
        <w:keepNext w:val="false"/>
        <w:spacing w:after="80"/>
      </w:pPr>
      <w:r>
        <w:rPr>
          <w:rFonts w:ascii="Arial" w:cs="Arial" w:eastAsia="Arial" w:hAnsi="Arial"/>
          <w:color w:val="2D3748"/>
          <w:sz w:val="22"/>
          <w:szCs w:val="22"/>
        </w:rPr>
        <w:t xml:space="preserve">De vraag naar veerdiensten tussen Harlingen, Vlieland en Terschelling is vooral groot in het toeristenseizoen, van april tot en met september. In de rest van het jaar is het niet mogelijk de veerdienst winstgevend aan te bieden.</w:t>
      </w:r>
    </w:p>
    <w:p>
      <w:pPr>
        <w:keepNext/>
        <w:spacing w:after="80"/>
      </w:pPr>
      <w:r>
        <w:rPr>
          <w:rFonts w:ascii="Arial" w:cs="Arial" w:eastAsia="Arial" w:hAnsi="Arial"/>
          <w:color w:val="2D3748"/>
          <w:sz w:val="22"/>
          <w:szCs w:val="22"/>
        </w:rPr>
        <w:t xml:space="preserve">Een monopolie kan nuttig zijn op een markt waarbij de vraag sterk seizoensgebonden is.</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EVT, dat geen contract heeft met de overheid, succesvol kan concurreren met rederij Doeksen.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Bekritiseer de rol van de overheid in het conflict tussen Doeksen en EVT.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een andere marktsituatie waarbij een monopolie op de markt voordelen biedt.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4.</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Van welke marktvorm was er sprake op de markt waarop vergunningen voor UMTS-frequenties in Nederland werden aangeboden?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er op de markt van mobiele telefonie sprake van een homogeen of heterogeen product?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Van welke marktvorm is er sprake op de markt waar mobiele telefonie en mobiel internet aangeboden worden?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waarom de toetredingsdrempel een oorzaak is dat er op deze markt geen sprake kan zijn van volkomen of monopolistische concurrentie.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markt voor elektrische personenauto’s’.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hoeveel elektrische personenauto’s Hyundai verkocht in Nederland in 2018.</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is de markt van elektrische personenauto’s een goed voorbeeld van een gedifferentieerd oligopolie? Bespreek in je antwoord de twee bepalende marktkenmerken.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bankenmarkt in de Verenigde Staten’.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Waarin onderscheidt de Bank of Bird-in-Hand zich van andere banken?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Op welke niche van de markt richt de bank zich?</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Kun je uit de context een indicatie afleiden van de hoogte van de toetredingsdrempel?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5.</w:t>
            </w:r>
          </w:p>
        </w:tc>
      </w:tr>
    </w:tbl>
    <w:p>
      <w:pPr>
        <w:spacing w:after="80"/>
      </w:pPr>
    </w:p>
    <w:p>
      <w:pPr>
        <w:keepNext/>
        <w:spacing w:after="80"/>
      </w:pPr>
      <w:r>
        <w:rPr>
          <w:rFonts w:ascii="Arial" w:cs="Arial" w:eastAsia="Arial" w:hAnsi="Arial"/>
          <w:color w:val="2D3748"/>
          <w:sz w:val="22"/>
          <w:szCs w:val="22"/>
        </w:rPr>
        <w:t xml:space="preserve">Welk voordeel van concurrentie kun je uit deze bron halen? Verklaar je antwoord.</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bron 6. Welke marktvorm past op plaats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 nadeel van deze marktvorm kun je uit de bron afleiden?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Marktvormen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2026-03-23T21:15:03.614Z</dcterms:created>
  <dcterms:modified xsi:type="dcterms:W3CDTF">2026-03-23T21:15:03.614Z</dcterms:modified>
</cp:coreProperties>
</file>

<file path=docProps/custom.xml><?xml version="1.0" encoding="utf-8"?>
<Properties xmlns="http://schemas.openxmlformats.org/officeDocument/2006/custom-properties" xmlns:vt="http://schemas.openxmlformats.org/officeDocument/2006/docPropsVTypes"/>
</file>