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Arial" w:hAnsi="Arial"/>
          <w:b/>
          <w:color w:val="1E2761"/>
          <w:sz w:val="48"/>
        </w:rPr>
        <w:t>Marktvormen</w:t>
      </w:r>
    </w:p>
    <w:p>
      <w:pPr>
        <w:spacing w:after="120"/>
        <w:jc w:val="center"/>
      </w:pPr>
      <w:r>
        <w:rPr>
          <w:rFonts w:ascii="Arial" w:hAnsi="Arial"/>
          <w:b w:val="0"/>
          <w:color w:val="718096"/>
          <w:sz w:val="26"/>
        </w:rPr>
        <w:t>Begeleide Inoefening — Vragen &amp; Antwoorden</w:t>
      </w:r>
    </w:p>
    <w:p>
      <w:pPr>
        <w:spacing w:after="120"/>
        <w:jc w:val="center"/>
      </w:pPr>
      <w:r>
        <w:rPr>
          <w:rFonts w:ascii="Arial" w:hAnsi="Arial"/>
          <w:b w:val="0"/>
          <w:color w:val="718096"/>
          <w:sz w:val="24"/>
        </w:rPr>
        <w:t>Paragraaf 3.1.2</w:t>
      </w:r>
    </w:p>
    <w:p/>
    <w:p>
      <w:pPr>
        <w:spacing w:after="120"/>
        <w:jc w:val="center"/>
      </w:pPr>
      <w:r>
        <w:rPr>
          <w:rFonts w:ascii="Arial" w:hAnsi="Arial"/>
          <w:b w:val="0"/>
          <w:color w:val="718096"/>
          <w:sz w:val="22"/>
        </w:rPr>
        <w:t>Dit document helpt je stap voor stap door de opgaven van paragraaf 3.1.2. Bij de eerste oefeningen krijg je veel hulp, daarna steeds minder.</w:t>
      </w:r>
    </w:p>
    <w:p>
      <w:r>
        <w:br w:type="page"/>
      </w:r>
    </w:p>
    <w:p>
      <w:pPr>
        <w:spacing w:after="120"/>
      </w:pPr>
      <w:r>
        <w:rPr>
          <w:rFonts w:ascii="Arial" w:hAnsi="Arial"/>
          <w:b/>
          <w:color w:val="1E2761"/>
          <w:sz w:val="32"/>
        </w:rPr>
        <w:t>Zo werkt dit document</w:t>
      </w:r>
    </w:p>
    <w:p>
      <w:pPr>
        <w:spacing w:after="120"/>
      </w:pPr>
      <w:r>
        <w:rPr>
          <w:rFonts w:ascii="Arial" w:hAnsi="Arial"/>
          <w:b w:val="0"/>
          <w:color w:val="2D3748"/>
          <w:sz w:val="22"/>
        </w:rPr>
      </w:r>
    </w:p>
    <w:tbl>
      <w:tblPr>
        <w:tblW w:type="auto" w:w="0"/>
        <w:tblLook w:firstColumn="1" w:firstRow="1" w:lastColumn="0" w:lastRow="0" w:noHBand="0" w:noVBand="1" w:val="04A0"/>
      </w:tblPr>
      <w:tblGrid>
        <w:gridCol w:w="8640"/>
      </w:tblGrid>
      <w:tr>
        <w:tc>
          <w:tcPr>
            <w:tcW w:type="dxa" w:w="8640"/>
            <w:shd w:fill="F0F7FF" w:val="clear"/>
            <w:tcBorders>
              <w:left w:val="single" w:sz="24" w:color="1A5276"/>
            </w:tcBorders>
          </w:tcPr>
          <w:p>
            <w:r>
              <w:rPr>
                <w:rFonts w:ascii="Arial" w:hAnsi="Arial"/>
                <w:b/>
                <w:color w:val="1A5276"/>
                <w:sz w:val="22"/>
              </w:rPr>
              <w:t xml:space="preserve">▶ Denkstappen: </w:t>
            </w:r>
            <w:r>
              <w:rPr>
                <w:rFonts w:ascii="Arial" w:hAnsi="Arial"/>
                <w:color w:val="2D3748"/>
                <w:sz w:val="22"/>
              </w:rPr>
              <w:t>Genummerde stappen die je door de redenering leiden.</w:t>
            </w:r>
          </w:p>
        </w:tc>
      </w:tr>
    </w:tbl>
    <w:p/>
    <w:tbl>
      <w:tblPr>
        <w:tblW w:type="auto" w:w="0"/>
        <w:tblLook w:firstColumn="1" w:firstRow="1" w:lastColumn="0" w:lastRow="0" w:noHBand="0" w:noVBand="1" w:val="04A0"/>
      </w:tblPr>
      <w:tblGrid>
        <w:gridCol w:w="8640"/>
      </w:tblGrid>
      <w:tr>
        <w:tc>
          <w:tcPr>
            <w:tcW w:type="dxa" w:w="8640"/>
            <w:shd w:fill="FFF8E1" w:val="clear"/>
            <w:tcBorders>
              <w:left w:val="single" w:sz="24" w:color="F59E0B"/>
            </w:tcBorders>
          </w:tcPr>
          <w:p>
            <w:r>
              <w:rPr>
                <w:rFonts w:ascii="Arial" w:hAnsi="Arial"/>
                <w:b/>
                <w:color w:val="F59E0B"/>
                <w:sz w:val="22"/>
              </w:rPr>
              <w:t xml:space="preserve">▶ Hint: </w:t>
            </w:r>
            <w:r>
              <w:rPr>
                <w:rFonts w:ascii="Arial" w:hAnsi="Arial"/>
                <w:color w:val="2D3748"/>
                <w:sz w:val="22"/>
              </w:rPr>
              <w:t>Een korte tip die je op weg helpt zonder het antwoord te geven.</w:t>
            </w:r>
          </w:p>
        </w:tc>
      </w:tr>
    </w:tbl>
    <w:p/>
    <w:tbl>
      <w:tblPr>
        <w:tblW w:type="auto" w:w="0"/>
        <w:tblLook w:firstColumn="1" w:firstRow="1" w:lastColumn="0" w:lastRow="0" w:noHBand="0" w:noVBand="1" w:val="04A0"/>
      </w:tblPr>
      <w:tblGrid>
        <w:gridCol w:w="8640"/>
      </w:tblGrid>
      <w:tr>
        <w:tc>
          <w:tcPr>
            <w:tcW w:type="dxa" w:w="8640"/>
            <w:shd w:fill="F7F8FA" w:val="clear"/>
            <w:tcBorders>
              <w:left w:val="single" w:sz="24" w:color="1A5276"/>
            </w:tcBorders>
          </w:tcPr>
          <w:p>
            <w:r>
              <w:rPr>
                <w:rFonts w:ascii="Arial" w:hAnsi="Arial"/>
                <w:b/>
                <w:color w:val="1A5276"/>
                <w:sz w:val="22"/>
              </w:rPr>
              <w:t xml:space="preserve">▶ Formuleherinnering: </w:t>
            </w:r>
            <w:r>
              <w:rPr>
                <w:rFonts w:ascii="Arial" w:hAnsi="Arial"/>
                <w:color w:val="2D3748"/>
                <w:sz w:val="22"/>
              </w:rPr>
              <w:t>De formules die je nodig hebt bij deze specifieke vraag.</w:t>
            </w:r>
          </w:p>
        </w:tc>
      </w:tr>
    </w:tbl>
    <w:p/>
    <w:tbl>
      <w:tblPr>
        <w:tblW w:type="auto" w:w="0"/>
        <w:tblLook w:firstColumn="1" w:firstRow="1" w:lastColumn="0" w:lastRow="0" w:noHBand="0" w:noVBand="1" w:val="04A0"/>
      </w:tblPr>
      <w:tblGrid>
        <w:gridCol w:w="8640"/>
      </w:tblGrid>
      <w:tr>
        <w:tc>
          <w:tcPr>
            <w:tcW w:type="dxa" w:w="8640"/>
            <w:shd w:fill="E8F5E9" w:val="clear"/>
            <w:tcBorders>
              <w:left w:val="single" w:sz="24" w:color="1E8449"/>
            </w:tcBorders>
          </w:tcPr>
          <w:p>
            <w:r>
              <w:rPr>
                <w:rFonts w:ascii="Arial" w:hAnsi="Arial"/>
                <w:b/>
                <w:color w:val="1E8449"/>
                <w:sz w:val="22"/>
              </w:rPr>
              <w:t xml:space="preserve">✅ Antwoord: </w:t>
            </w:r>
            <w:r>
              <w:rPr>
                <w:rFonts w:ascii="Arial" w:hAnsi="Arial"/>
                <w:color w:val="2D3748"/>
                <w:sz w:val="22"/>
              </w:rPr>
              <w:t>Het volledig uitgewerkte antwoord.</w:t>
            </w:r>
          </w:p>
        </w:tc>
      </w:tr>
    </w:tbl>
    <w:p/>
    <w:tbl>
      <w:tblPr>
        <w:tblW w:type="auto" w:w="0"/>
        <w:tblLook w:firstColumn="1" w:firstRow="1" w:lastColumn="0" w:lastRow="0" w:noHBand="0" w:noVBand="1" w:val="04A0"/>
      </w:tblPr>
      <w:tblGrid>
        <w:gridCol w:w="8640"/>
      </w:tblGrid>
      <w:tr>
        <w:tc>
          <w:tcPr>
            <w:tcW w:type="dxa" w:w="8640"/>
            <w:shd w:fill="EBF5FB" w:val="clear"/>
            <w:tcBorders>
              <w:left w:val="single" w:sz="24" w:color="1A5276"/>
            </w:tcBorders>
          </w:tcPr>
          <w:p>
            <w:r>
              <w:rPr>
                <w:rFonts w:ascii="Arial" w:hAnsi="Arial"/>
                <w:b/>
                <w:color w:val="1A5276"/>
                <w:sz w:val="22"/>
              </w:rPr>
              <w:t xml:space="preserve">▶ Uitleg: </w:t>
            </w:r>
            <w:r>
              <w:rPr>
                <w:rFonts w:ascii="Arial" w:hAnsi="Arial"/>
                <w:color w:val="2D3748"/>
                <w:sz w:val="22"/>
              </w:rPr>
              <w:t>Waarom dit het goede antwoord is.</w:t>
            </w:r>
          </w:p>
        </w:tc>
      </w:tr>
    </w:tbl>
    <w:p/>
    <w:p>
      <w:pPr>
        <w:spacing w:after="120"/>
      </w:pPr>
      <w:r>
        <w:rPr>
          <w:rFonts w:ascii="Arial" w:hAnsi="Arial"/>
          <w:b w:val="0"/>
          <w:color w:val="2D3748"/>
          <w:sz w:val="22"/>
        </w:rPr>
      </w:r>
    </w:p>
    <w:p>
      <w:pPr>
        <w:spacing w:after="120"/>
      </w:pPr>
      <w:r>
        <w:rPr>
          <w:rFonts w:ascii="Arial" w:hAnsi="Arial"/>
          <w:b w:val="0"/>
          <w:color w:val="718096"/>
          <w:sz w:val="22"/>
        </w:rPr>
        <w:t>Naarmate je verder komt in het document, krijg je steeds minder hulp. Zo oefen je om uiteindelijk zelfstandig opgaven te maken.</w:t>
      </w:r>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1</w:t>
            </w:r>
          </w:p>
        </w:tc>
        <w:tc>
          <w:tcPr>
            <w:tcW w:type="dxa" w:w="4320"/>
            <w:shd w:fill="EBF5FB" w:val="clear"/>
          </w:tcPr>
          <w:p>
            <w:r>
              <w:rPr>
                <w:rFonts w:ascii="Arial" w:hAnsi="Arial"/>
                <w:b/>
                <w:color w:val="1A5276"/>
                <w:sz w:val="28"/>
              </w:rPr>
              <w:t>Het veer: Doeksen vs EVT</w:t>
            </w:r>
          </w:p>
          <w:p>
            <w:r>
              <w:rPr>
                <w:rFonts w:ascii="Arial" w:hAnsi="Arial"/>
                <w:i/>
                <w:color w:val="1A5276"/>
                <w:sz w:val="18"/>
              </w:rPr>
              <w:t>Marktanalyse</w:t>
            </w:r>
          </w:p>
        </w:tc>
      </w:tr>
    </w:tbl>
    <w:p/>
    <w:p>
      <w:pPr>
        <w:spacing w:after="120"/>
      </w:pPr>
      <w:r>
        <w:rPr>
          <w:rFonts w:ascii="Arial" w:hAnsi="Arial"/>
          <w:b w:val="0"/>
          <w:color w:val="2D3748"/>
          <w:sz w:val="22"/>
        </w:rPr>
        <w:t>Context: Rederij Doeksen had een wettelijk monopolie op de veerdienst Harlingen-Vlieland-Terschelling. Concurrent EVT ging ook varen, vooral in het toeristenseizoen.</w:t>
      </w:r>
    </w:p>
    <w:p>
      <w:pPr>
        <w:spacing w:after="120"/>
      </w:pPr>
      <w:r>
        <w:rPr>
          <w:rFonts w:ascii="Arial" w:hAnsi="Arial"/>
          <w:b w:val="0"/>
          <w:color w:val="2D3748"/>
          <w:sz w:val="22"/>
        </w:rPr>
      </w:r>
    </w:p>
    <w:p>
      <w:pPr>
        <w:spacing w:after="120"/>
      </w:pPr>
      <w:r>
        <w:rPr>
          <w:rFonts w:ascii="Arial" w:hAnsi="Arial"/>
          <w:b/>
          <w:color w:val="2D3748"/>
          <w:sz w:val="22"/>
        </w:rPr>
        <w:t>Vraag 1a — Leg uit hoe EVT succesvol kon concurreren met Doeksen.</w:t>
      </w:r>
    </w:p>
    <w:tbl>
      <w:tblPr>
        <w:tblW w:type="auto" w:w="0"/>
        <w:tblLook w:firstColumn="1" w:firstRow="1" w:lastColumn="0" w:lastRow="0" w:noHBand="0" w:noVBand="1" w:val="04A0"/>
      </w:tblPr>
      <w:tblGrid>
        <w:gridCol w:w="8640"/>
      </w:tblGrid>
      <w:tr>
        <w:tc>
          <w:tcPr>
            <w:tcW w:type="dxa" w:w="8640"/>
            <w:shd w:fill="F0F7FF" w:val="clear"/>
            <w:tcBorders>
              <w:left w:val="single" w:sz="16" w:color="1A5276"/>
            </w:tcBorders>
          </w:tcPr>
          <w:p>
            <w:r>
              <w:rPr>
                <w:rFonts w:ascii="Arial" w:hAnsi="Arial"/>
                <w:b/>
                <w:color w:val="1A5276"/>
                <w:sz w:val="22"/>
              </w:rPr>
              <w:t>▶ Denkstappen:</w:t>
            </w:r>
          </w:p>
          <w:p>
            <w:r>
              <w:rPr>
                <w:rFonts w:ascii="Arial" w:hAnsi="Arial"/>
                <w:color w:val="2D3748"/>
                <w:sz w:val="22"/>
              </w:rPr>
              <w:t>1. Wanneer voer EVT? (seizoen)</w:t>
            </w:r>
          </w:p>
          <w:p>
            <w:r>
              <w:rPr>
                <w:rFonts w:ascii="Arial" w:hAnsi="Arial"/>
                <w:color w:val="2D3748"/>
                <w:sz w:val="22"/>
              </w:rPr>
              <w:t>2. Was er in die periode genoeg vraag?</w:t>
            </w:r>
          </w:p>
          <w:p>
            <w:r>
              <w:rPr>
                <w:rFonts w:ascii="Arial" w:hAnsi="Arial"/>
                <w:color w:val="2D3748"/>
                <w:sz w:val="22"/>
              </w:rPr>
              <w:t>3. Wat betekent dat voor de winstgevendheid?</w:t>
            </w:r>
          </w:p>
        </w:tc>
      </w:tr>
    </w:tbl>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Denk aan het verschil tussen hoog- en laagseizoen. Wanneer zijn er genoeg reizigers?</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EVT voer alleen in het toeristenseizoen.</w:t>
            </w:r>
          </w:p>
          <w:p>
            <w:r>
              <w:rPr>
                <w:rFonts w:ascii="Arial" w:hAnsi="Arial"/>
                <w:color w:val="2D3748"/>
                <w:sz w:val="22"/>
              </w:rPr>
              <w:t>In die periode was de vraag groot genoeg om winstgevend te zijn.</w:t>
            </w:r>
          </w:p>
          <w:p>
            <w:r>
              <w:rPr>
                <w:rFonts w:ascii="Arial" w:hAnsi="Arial"/>
                <w:color w:val="2D3748"/>
                <w:sz w:val="22"/>
              </w:rPr>
              <w:t>Door zich te concentreren op de drukke maanden kon EVT concurreren.</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EVT hoefde niet het hele jaar te varen (en verlies te draaien in de winter). Door alleen te varen als er genoeg vraag was, kon het bedrijf winstgevend opereren ondanks de concurrentie met Doeksen.</w:t>
            </w:r>
          </w:p>
        </w:tc>
      </w:tr>
    </w:tbl>
    <w:p/>
    <w:p>
      <w:pPr>
        <w:spacing w:after="120"/>
      </w:pPr>
      <w:r>
        <w:rPr>
          <w:rFonts w:ascii="Arial" w:hAnsi="Arial"/>
          <w:b w:val="0"/>
          <w:color w:val="2D3748"/>
          <w:sz w:val="22"/>
        </w:rPr>
      </w:r>
    </w:p>
    <w:p>
      <w:pPr>
        <w:spacing w:after="120"/>
      </w:pPr>
      <w:r>
        <w:rPr>
          <w:rFonts w:ascii="Arial" w:hAnsi="Arial"/>
          <w:b/>
          <w:color w:val="2D3748"/>
          <w:sz w:val="22"/>
        </w:rPr>
        <w:t>Vraag 1b — Bekritiseer de rol van de overheid.</w:t>
      </w:r>
    </w:p>
    <w:tbl>
      <w:tblPr>
        <w:tblW w:type="auto" w:w="0"/>
        <w:tblLook w:firstColumn="1" w:firstRow="1" w:lastColumn="0" w:lastRow="0" w:noHBand="0" w:noVBand="1" w:val="04A0"/>
      </w:tblPr>
      <w:tblGrid>
        <w:gridCol w:w="8640"/>
      </w:tblGrid>
      <w:tr>
        <w:tc>
          <w:tcPr>
            <w:tcW w:type="dxa" w:w="8640"/>
            <w:shd w:fill="F0F7FF" w:val="clear"/>
            <w:tcBorders>
              <w:left w:val="single" w:sz="16" w:color="1A5276"/>
            </w:tcBorders>
          </w:tcPr>
          <w:p>
            <w:r>
              <w:rPr>
                <w:rFonts w:ascii="Arial" w:hAnsi="Arial"/>
                <w:b/>
                <w:color w:val="1A5276"/>
                <w:sz w:val="22"/>
              </w:rPr>
              <w:t>▶ Denkstappen:</w:t>
            </w:r>
          </w:p>
          <w:p>
            <w:r>
              <w:rPr>
                <w:rFonts w:ascii="Arial" w:hAnsi="Arial"/>
                <w:color w:val="2D3748"/>
                <w:sz w:val="22"/>
              </w:rPr>
              <w:t>1. Wat had de overheid beloofd aan Doeksen?</w:t>
            </w:r>
          </w:p>
          <w:p>
            <w:r>
              <w:rPr>
                <w:rFonts w:ascii="Arial" w:hAnsi="Arial"/>
                <w:color w:val="2D3748"/>
                <w:sz w:val="22"/>
              </w:rPr>
              <w:t>2. Heeft de overheid die belofte waargemaakt?</w:t>
            </w:r>
          </w:p>
          <w:p>
            <w:r>
              <w:rPr>
                <w:rFonts w:ascii="Arial" w:hAnsi="Arial"/>
                <w:color w:val="2D3748"/>
                <w:sz w:val="22"/>
              </w:rPr>
              <w:t>3. Welke twee opties had de overheid?</w:t>
            </w:r>
          </w:p>
        </w:tc>
      </w:tr>
    </w:tbl>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De overheid gaf een monopolie maar handhaafde het niet. Wat zijn de consequenties?</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De overheid gaf Doeksen een wettelijk monopolie.</w:t>
            </w:r>
          </w:p>
          <w:p>
            <w:r>
              <w:rPr>
                <w:rFonts w:ascii="Arial" w:hAnsi="Arial"/>
                <w:color w:val="2D3748"/>
                <w:sz w:val="22"/>
              </w:rPr>
              <w:t>Maar de overheid handhaafde dit niet toen EVT ging varen.</w:t>
            </w:r>
          </w:p>
          <w:p>
            <w:r>
              <w:rPr>
                <w:rFonts w:ascii="Arial" w:hAnsi="Arial"/>
                <w:color w:val="2D3748"/>
                <w:sz w:val="22"/>
              </w:rPr>
              <w:t>Optie 1: De overheid kan geen monopolie beloven (EU-regels).</w:t>
            </w:r>
          </w:p>
          <w:p>
            <w:r>
              <w:rPr>
                <w:rFonts w:ascii="Arial" w:hAnsi="Arial"/>
                <w:color w:val="2D3748"/>
                <w:sz w:val="22"/>
              </w:rPr>
              <w:t>Optie 2: De overheid moet handhaven en EVT uit de vaart halen.</w:t>
            </w:r>
          </w:p>
          <w:p>
            <w:r>
              <w:rPr>
                <w:rFonts w:ascii="Arial" w:hAnsi="Arial"/>
                <w:color w:val="2D3748"/>
                <w:sz w:val="22"/>
              </w:rPr>
              <w:t>Geen van beide is gebeurd.</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Als de overheid een monopolie toezegt, moet zij dat juridisch kunnen waarmaken. Doet zij dat niet, dan is de toezegging waardeloos en handelt de overheid inconsequent.</w:t>
            </w:r>
          </w:p>
        </w:tc>
      </w:tr>
    </w:tbl>
    <w:p/>
    <w:p>
      <w:pPr>
        <w:spacing w:after="120"/>
      </w:pPr>
      <w:r>
        <w:rPr>
          <w:rFonts w:ascii="Arial" w:hAnsi="Arial"/>
          <w:b w:val="0"/>
          <w:color w:val="2D3748"/>
          <w:sz w:val="22"/>
        </w:rPr>
      </w:r>
    </w:p>
    <w:p>
      <w:pPr>
        <w:spacing w:after="120"/>
      </w:pPr>
      <w:r>
        <w:rPr>
          <w:rFonts w:ascii="Arial" w:hAnsi="Arial"/>
          <w:b/>
          <w:color w:val="2D3748"/>
          <w:sz w:val="22"/>
        </w:rPr>
        <w:t>Vraag 1c — Bedenk een andere marktsituatie waarbij een monopolie voordelen biedt.</w:t>
      </w:r>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Denk aan markten met hele hoge investeringen of markten die de overheid belangrijk vindt voor iedereen.</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Bijvoorbeeld: de Gasunie (aardgas) — enorme investeringen nodig.</w:t>
            </w:r>
          </w:p>
          <w:p>
            <w:r>
              <w:rPr>
                <w:rFonts w:ascii="Arial" w:hAnsi="Arial"/>
                <w:color w:val="2D3748"/>
                <w:sz w:val="22"/>
              </w:rPr>
              <w:t>Of: postbezorging — de overheid wil dat dit voor iedereen betaalbaar is.</w:t>
            </w:r>
          </w:p>
          <w:p>
            <w:r>
              <w:rPr>
                <w:rFonts w:ascii="Arial" w:hAnsi="Arial"/>
                <w:color w:val="2D3748"/>
                <w:sz w:val="22"/>
              </w:rPr>
              <w:t>Of: het spoor — het is inefficient om meerdere spoornetwerken naast elkaar te leggen.</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Een monopolie is nuttig als de investeringskosten zo hoog zijn dat alleen één aanbieder ze kan dragen, of als de overheid wil dat het product voor iedereen beschikbaar is tegen een redelijke prijs.</w:t>
            </w:r>
          </w:p>
        </w:tc>
      </w:tr>
    </w:tbl>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2</w:t>
            </w:r>
          </w:p>
        </w:tc>
        <w:tc>
          <w:tcPr>
            <w:tcW w:type="dxa" w:w="4320"/>
            <w:shd w:fill="EBF5FB" w:val="clear"/>
          </w:tcPr>
          <w:p>
            <w:r>
              <w:rPr>
                <w:rFonts w:ascii="Arial" w:hAnsi="Arial"/>
                <w:b/>
                <w:color w:val="1A5276"/>
                <w:sz w:val="28"/>
              </w:rPr>
              <w:t>UMTS-frequenties en mobiele telefonie</w:t>
            </w:r>
          </w:p>
          <w:p>
            <w:r>
              <w:rPr>
                <w:rFonts w:ascii="Arial" w:hAnsi="Arial"/>
                <w:i/>
                <w:color w:val="1A5276"/>
                <w:sz w:val="18"/>
              </w:rPr>
              <w:t>Marktanalyse</w:t>
            </w:r>
          </w:p>
        </w:tc>
      </w:tr>
    </w:tbl>
    <w:p/>
    <w:p>
      <w:pPr>
        <w:spacing w:after="120"/>
      </w:pPr>
      <w:r>
        <w:rPr>
          <w:rFonts w:ascii="Arial" w:hAnsi="Arial"/>
          <w:b w:val="0"/>
          <w:color w:val="2D3748"/>
          <w:sz w:val="22"/>
        </w:rPr>
        <w:t>Context: De overheid veilde UMTS-frequenties. Op de markt voor mobiele telefonie zijn er enkele grote aanbieders.</w:t>
      </w:r>
    </w:p>
    <w:p>
      <w:pPr>
        <w:spacing w:after="120"/>
      </w:pPr>
      <w:r>
        <w:rPr>
          <w:rFonts w:ascii="Arial" w:hAnsi="Arial"/>
          <w:b w:val="0"/>
          <w:color w:val="2D3748"/>
          <w:sz w:val="22"/>
        </w:rPr>
      </w:r>
    </w:p>
    <w:p>
      <w:pPr>
        <w:spacing w:after="120"/>
      </w:pPr>
      <w:r>
        <w:rPr>
          <w:rFonts w:ascii="Arial" w:hAnsi="Arial"/>
          <w:b/>
          <w:color w:val="2D3748"/>
          <w:sz w:val="22"/>
        </w:rPr>
        <w:t>Vraag 2a — Welke marktvorm was er bij de veiling van UMTS-frequenties?</w:t>
      </w:r>
    </w:p>
    <w:tbl>
      <w:tblPr>
        <w:tblW w:type="auto" w:w="0"/>
        <w:tblLook w:firstColumn="1" w:firstRow="1" w:lastColumn="0" w:lastRow="0" w:noHBand="0" w:noVBand="1" w:val="04A0"/>
      </w:tblPr>
      <w:tblGrid>
        <w:gridCol w:w="8640"/>
      </w:tblGrid>
      <w:tr>
        <w:tc>
          <w:tcPr>
            <w:tcW w:type="dxa" w:w="8640"/>
            <w:shd w:fill="F0F7FF" w:val="clear"/>
            <w:tcBorders>
              <w:left w:val="single" w:sz="16" w:color="1A5276"/>
            </w:tcBorders>
          </w:tcPr>
          <w:p>
            <w:r>
              <w:rPr>
                <w:rFonts w:ascii="Arial" w:hAnsi="Arial"/>
                <w:b/>
                <w:color w:val="1A5276"/>
                <w:sz w:val="22"/>
              </w:rPr>
              <w:t>▶ Denkstappen:</w:t>
            </w:r>
          </w:p>
          <w:p>
            <w:r>
              <w:rPr>
                <w:rFonts w:ascii="Arial" w:hAnsi="Arial"/>
                <w:color w:val="2D3748"/>
                <w:sz w:val="22"/>
              </w:rPr>
              <w:t>1. Wie biedt de frequenties aan?</w:t>
            </w:r>
          </w:p>
          <w:p>
            <w:r>
              <w:rPr>
                <w:rFonts w:ascii="Arial" w:hAnsi="Arial"/>
                <w:color w:val="2D3748"/>
                <w:sz w:val="22"/>
              </w:rPr>
              <w:t>2. Hoeveel aanbieders zijn er?</w:t>
            </w:r>
          </w:p>
          <w:p>
            <w:r>
              <w:rPr>
                <w:rFonts w:ascii="Arial" w:hAnsi="Arial"/>
                <w:color w:val="2D3748"/>
                <w:sz w:val="22"/>
              </w:rPr>
              <w:t>3. Welke marktvorm hoort bij één aanbieder?</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Monopolie.</w:t>
            </w:r>
          </w:p>
          <w:p>
            <w:r>
              <w:rPr>
                <w:rFonts w:ascii="Arial" w:hAnsi="Arial"/>
                <w:color w:val="2D3748"/>
                <w:sz w:val="22"/>
              </w:rPr>
              <w:t>De overheid is de enige aanbieder van UMTS-frequenties.</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Alleen de overheid mag radiofrequenties uitgeven. Er is dus maar één aanbieder: een monopolie.</w:t>
            </w:r>
          </w:p>
        </w:tc>
      </w:tr>
    </w:tbl>
    <w:p/>
    <w:p>
      <w:pPr>
        <w:spacing w:after="120"/>
      </w:pPr>
      <w:r>
        <w:rPr>
          <w:rFonts w:ascii="Arial" w:hAnsi="Arial"/>
          <w:b w:val="0"/>
          <w:color w:val="2D3748"/>
          <w:sz w:val="22"/>
        </w:rPr>
      </w:r>
    </w:p>
    <w:p>
      <w:pPr>
        <w:spacing w:after="120"/>
      </w:pPr>
      <w:r>
        <w:rPr>
          <w:rFonts w:ascii="Arial" w:hAnsi="Arial"/>
          <w:b/>
          <w:color w:val="2D3748"/>
          <w:sz w:val="22"/>
        </w:rPr>
        <w:t>Vraag 2b — Homogeen of heterogeen product bij mobiele telefonie?</w:t>
      </w:r>
    </w:p>
    <w:tbl>
      <w:tblPr>
        <w:tblW w:type="auto" w:w="0"/>
        <w:tblLook w:firstColumn="1" w:firstRow="1" w:lastColumn="0" w:lastRow="0" w:noHBand="0" w:noVBand="1" w:val="04A0"/>
      </w:tblPr>
      <w:tblGrid>
        <w:gridCol w:w="8640"/>
      </w:tblGrid>
      <w:tr>
        <w:tc>
          <w:tcPr>
            <w:tcW w:type="dxa" w:w="8640"/>
            <w:shd w:fill="F0F7FF" w:val="clear"/>
            <w:tcBorders>
              <w:left w:val="single" w:sz="16" w:color="1A5276"/>
            </w:tcBorders>
          </w:tcPr>
          <w:p>
            <w:r>
              <w:rPr>
                <w:rFonts w:ascii="Arial" w:hAnsi="Arial"/>
                <w:b/>
                <w:color w:val="1A5276"/>
                <w:sz w:val="22"/>
              </w:rPr>
              <w:t>▶ Denkstappen:</w:t>
            </w:r>
          </w:p>
          <w:p>
            <w:r>
              <w:rPr>
                <w:rFonts w:ascii="Arial" w:hAnsi="Arial"/>
                <w:color w:val="2D3748"/>
                <w:sz w:val="22"/>
              </w:rPr>
              <w:t>1. Zijn de diensten van KPN, Vodafone, T-Mobile identiek?</w:t>
            </w:r>
          </w:p>
          <w:p>
            <w:r>
              <w:rPr>
                <w:rFonts w:ascii="Arial" w:hAnsi="Arial"/>
                <w:color w:val="2D3748"/>
                <w:sz w:val="22"/>
              </w:rPr>
              <w:t>2. Verschillen ze in kwaliteit, bereik, service?</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Heterogeen product.</w:t>
            </w:r>
          </w:p>
          <w:p>
            <w:r>
              <w:rPr>
                <w:rFonts w:ascii="Arial" w:hAnsi="Arial"/>
                <w:color w:val="2D3748"/>
                <w:sz w:val="22"/>
              </w:rPr>
              <w:t>Kwaliteit en service verschillen per aanbieder.</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Hoewel alle aanbieders mobiele telefonie leveren, verschilt het netwerk, de service en het aanbod. Consumenten zien dit als verschillende producten.</w:t>
            </w:r>
          </w:p>
        </w:tc>
      </w:tr>
    </w:tbl>
    <w:p/>
    <w:p>
      <w:pPr>
        <w:spacing w:after="120"/>
      </w:pPr>
      <w:r>
        <w:rPr>
          <w:rFonts w:ascii="Arial" w:hAnsi="Arial"/>
          <w:b w:val="0"/>
          <w:color w:val="2D3748"/>
          <w:sz w:val="22"/>
        </w:rPr>
      </w:r>
    </w:p>
    <w:p>
      <w:pPr>
        <w:spacing w:after="120"/>
      </w:pPr>
      <w:r>
        <w:rPr>
          <w:rFonts w:ascii="Arial" w:hAnsi="Arial"/>
          <w:b/>
          <w:color w:val="2D3748"/>
          <w:sz w:val="22"/>
        </w:rPr>
        <w:t>Vraag 2c — Welke marktvorm is de markt voor mobiele telefonie?</w:t>
      </w:r>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Combineer je antwoorden: weinig aanbieders + heterogeen product = ?</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Heterogeen oligopolie.</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Weinig aanbieders (KPN, Vodafone, T-Mobile) + heterogeen product = gedifferentieerd oligopolie.</w:t>
            </w:r>
          </w:p>
        </w:tc>
      </w:tr>
    </w:tbl>
    <w:p/>
    <w:p>
      <w:pPr>
        <w:spacing w:after="120"/>
      </w:pPr>
      <w:r>
        <w:rPr>
          <w:rFonts w:ascii="Arial" w:hAnsi="Arial"/>
          <w:b w:val="0"/>
          <w:color w:val="2D3748"/>
          <w:sz w:val="22"/>
        </w:rPr>
      </w:r>
    </w:p>
    <w:p>
      <w:pPr>
        <w:spacing w:after="120"/>
      </w:pPr>
      <w:r>
        <w:rPr>
          <w:rFonts w:ascii="Arial" w:hAnsi="Arial"/>
          <w:b/>
          <w:color w:val="2D3748"/>
          <w:sz w:val="22"/>
        </w:rPr>
        <w:t>Vraag 2d — Waarom geen volkomen of monopolistische concurrentie?</w:t>
      </w:r>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Denk aan de kosten van het aanleggen van een netwerk. Wat betekent dat voor toetreding?</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Een netwerk aanleggen kost enorm veel geld.</w:t>
            </w:r>
          </w:p>
          <w:p>
            <w:r>
              <w:rPr>
                <w:rFonts w:ascii="Arial" w:hAnsi="Arial"/>
                <w:color w:val="2D3748"/>
                <w:sz w:val="22"/>
              </w:rPr>
              <w:t>De toetredingsdrempel is dus hoog.</w:t>
            </w:r>
          </w:p>
          <w:p>
            <w:r>
              <w:rPr>
                <w:rFonts w:ascii="Arial" w:hAnsi="Arial"/>
                <w:color w:val="2D3748"/>
                <w:sz w:val="22"/>
              </w:rPr>
              <w:t>Bij VC en MC zijn de drempels laag → veel aanbieders.</w:t>
            </w:r>
          </w:p>
          <w:p>
            <w:r>
              <w:rPr>
                <w:rFonts w:ascii="Arial" w:hAnsi="Arial"/>
                <w:color w:val="2D3748"/>
                <w:sz w:val="22"/>
              </w:rPr>
              <w:t>Dat kan hier niet vanwege de hoge kosten.</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Volkomen concurrentie en monopolistische concurrentie vereisen lage toetredingsdrempels. De enorme investeringskosten voor een mobiel netwerk maken toetreding bijna onmogelijk.</w:t>
            </w:r>
          </w:p>
        </w:tc>
      </w:tr>
    </w:tbl>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3</w:t>
            </w:r>
          </w:p>
        </w:tc>
        <w:tc>
          <w:tcPr>
            <w:tcW w:type="dxa" w:w="4320"/>
            <w:shd w:fill="EBF5FB" w:val="clear"/>
          </w:tcPr>
          <w:p>
            <w:r>
              <w:rPr>
                <w:rFonts w:ascii="Arial" w:hAnsi="Arial"/>
                <w:b/>
                <w:color w:val="1A5276"/>
                <w:sz w:val="28"/>
              </w:rPr>
              <w:t>Elektrische auto’s</w:t>
            </w:r>
          </w:p>
          <w:p>
            <w:r>
              <w:rPr>
                <w:rFonts w:ascii="Arial" w:hAnsi="Arial"/>
                <w:i/>
                <w:color w:val="1A5276"/>
                <w:sz w:val="18"/>
              </w:rPr>
              <w:t>Marktanalyse</w:t>
            </w:r>
          </w:p>
        </w:tc>
      </w:tr>
    </w:tbl>
    <w:p/>
    <w:p>
      <w:pPr>
        <w:spacing w:after="120"/>
      </w:pPr>
      <w:r>
        <w:rPr>
          <w:rFonts w:ascii="Arial" w:hAnsi="Arial"/>
          <w:b w:val="0"/>
          <w:color w:val="2D3748"/>
          <w:sz w:val="22"/>
        </w:rPr>
        <w:t>Context: Op de markt voor elektrische auto’s in Nederland had Hyundai in 2018 een marktaandeel van 28%. Er werden dat jaar 33.000 elektrische auto’s verkocht.</w:t>
      </w:r>
    </w:p>
    <w:p>
      <w:pPr>
        <w:spacing w:after="120"/>
      </w:pPr>
      <w:r>
        <w:rPr>
          <w:rFonts w:ascii="Arial" w:hAnsi="Arial"/>
          <w:b w:val="0"/>
          <w:color w:val="2D3748"/>
          <w:sz w:val="22"/>
        </w:rPr>
      </w:r>
    </w:p>
    <w:p>
      <w:pPr>
        <w:spacing w:after="120"/>
      </w:pPr>
      <w:r>
        <w:rPr>
          <w:rFonts w:ascii="Arial" w:hAnsi="Arial"/>
          <w:b/>
          <w:color w:val="2D3748"/>
          <w:sz w:val="22"/>
        </w:rPr>
        <w:t>Vraag 3a — Bereken hoeveel Hyundai verkocht.</w:t>
      </w:r>
    </w:p>
    <w:tbl>
      <w:tblPr>
        <w:tblW w:type="auto" w:w="0"/>
        <w:tblLook w:firstColumn="1" w:firstRow="1" w:lastColumn="0" w:lastRow="0" w:noHBand="0" w:noVBand="1" w:val="04A0"/>
      </w:tblPr>
      <w:tblGrid>
        <w:gridCol w:w="8640"/>
      </w:tblGrid>
      <w:tr>
        <w:tc>
          <w:tcPr>
            <w:tcW w:type="dxa" w:w="8640"/>
            <w:shd w:fill="F7F8FA" w:val="clear"/>
            <w:tcBorders>
              <w:left w:val="single" w:sz="16" w:color="E67E22"/>
            </w:tcBorders>
          </w:tcPr>
          <w:p>
            <w:r>
              <w:rPr>
                <w:rFonts w:ascii="Arial" w:hAnsi="Arial"/>
                <w:b/>
                <w:color w:val="1A5276"/>
                <w:sz w:val="22"/>
              </w:rPr>
              <w:t>▶ Formuleherinnering:</w:t>
            </w:r>
          </w:p>
          <w:p>
            <w:r>
              <w:rPr>
                <w:rFonts w:ascii="Consolas" w:hAnsi="Consolas"/>
                <w:color w:val="2D3748"/>
                <w:sz w:val="22"/>
              </w:rPr>
              <w:t>Aantal = marktaandeel x totaal</w:t>
            </w:r>
          </w:p>
        </w:tc>
      </w:tr>
    </w:tbl>
    <w:p/>
    <w:tbl>
      <w:tblPr>
        <w:tblW w:type="auto" w:w="0"/>
        <w:tblLook w:firstColumn="1" w:firstRow="1" w:lastColumn="0" w:lastRow="0" w:noHBand="0" w:noVBand="1" w:val="04A0"/>
      </w:tblPr>
      <w:tblGrid>
        <w:gridCol w:w="8640"/>
      </w:tblGrid>
      <w:tr>
        <w:tc>
          <w:tcPr>
            <w:tcW w:type="dxa" w:w="8640"/>
            <w:shd w:fill="FAFAFA" w:val="clear"/>
            <w:tcBorders>
              <w:left w:val="single" w:sz="16" w:color="CBD5E0"/>
            </w:tcBorders>
          </w:tcPr>
          <w:p>
            <w:r>
              <w:rPr>
                <w:rFonts w:ascii="Arial" w:hAnsi="Arial"/>
                <w:b/>
                <w:color w:val="2D3748"/>
                <w:sz w:val="22"/>
              </w:rPr>
              <w:t>Invulformaat:</w:t>
            </w:r>
          </w:p>
          <w:p>
            <w:r>
              <w:rPr>
                <w:rFonts w:ascii="Consolas" w:hAnsi="Consolas"/>
                <w:color w:val="2D3748"/>
                <w:sz w:val="22"/>
              </w:rPr>
              <w:t>....... x ....... = .......</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0,28 x 33.000 = 9.240 stuks.</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Het marktaandeel (28% = 0,28) vermenigvuldig je met het totale aantal verkochte auto’s.</w:t>
            </w:r>
          </w:p>
        </w:tc>
      </w:tr>
    </w:tbl>
    <w:p/>
    <w:p>
      <w:pPr>
        <w:spacing w:after="120"/>
      </w:pPr>
      <w:r>
        <w:rPr>
          <w:rFonts w:ascii="Arial" w:hAnsi="Arial"/>
          <w:b w:val="0"/>
          <w:color w:val="2D3748"/>
          <w:sz w:val="22"/>
        </w:rPr>
      </w:r>
    </w:p>
    <w:p>
      <w:pPr>
        <w:spacing w:after="120"/>
      </w:pPr>
      <w:r>
        <w:rPr>
          <w:rFonts w:ascii="Arial" w:hAnsi="Arial"/>
          <w:b/>
          <w:color w:val="2D3748"/>
          <w:sz w:val="22"/>
        </w:rPr>
        <w:t>Vraag 3b — Waarom is dit een gedifferentieerd oligopolie?</w:t>
      </w:r>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Bespreek twee kenmerken: het aantal aanbieders en het type product.</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1. Beperkt aantal aanbieders: 7 grootste = 91% marktaandeel.</w:t>
            </w:r>
          </w:p>
          <w:p>
            <w:r>
              <w:rPr>
                <w:rFonts w:ascii="Arial" w:hAnsi="Arial"/>
                <w:color w:val="2D3748"/>
                <w:sz w:val="22"/>
              </w:rPr>
              <w:t>2. Heterogeen product: auto’s van verschillende merken verschillen van elkaar.</w:t>
            </w:r>
          </w:p>
          <w:p>
            <w:r>
              <w:rPr>
                <w:rFonts w:ascii="Arial" w:hAnsi="Arial"/>
                <w:color w:val="2D3748"/>
                <w:sz w:val="22"/>
              </w:rPr>
              <w:t>Combinatie = gedifferentieerd oligopolie.</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Een oligopolie heeft weinig aanbieders met grote marktaandelen. Gedifferentieerd betekent dat consumenten de producten als verschillend zien.</w:t>
            </w:r>
          </w:p>
        </w:tc>
      </w:tr>
    </w:tbl>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4</w:t>
            </w:r>
          </w:p>
        </w:tc>
        <w:tc>
          <w:tcPr>
            <w:tcW w:type="dxa" w:w="4320"/>
            <w:shd w:fill="EBF5FB" w:val="clear"/>
          </w:tcPr>
          <w:p>
            <w:r>
              <w:rPr>
                <w:rFonts w:ascii="Arial" w:hAnsi="Arial"/>
                <w:b/>
                <w:color w:val="1A5276"/>
                <w:sz w:val="28"/>
              </w:rPr>
              <w:t>Bank of Bird-in-Hand</w:t>
            </w:r>
          </w:p>
          <w:p>
            <w:r>
              <w:rPr>
                <w:rFonts w:ascii="Arial" w:hAnsi="Arial"/>
                <w:i/>
                <w:color w:val="1A5276"/>
                <w:sz w:val="18"/>
              </w:rPr>
              <w:t>Marktanalyse</w:t>
            </w:r>
          </w:p>
        </w:tc>
      </w:tr>
    </w:tbl>
    <w:p/>
    <w:p>
      <w:pPr>
        <w:spacing w:after="120"/>
      </w:pPr>
      <w:r>
        <w:rPr>
          <w:rFonts w:ascii="Arial" w:hAnsi="Arial"/>
          <w:b w:val="0"/>
          <w:color w:val="2D3748"/>
          <w:sz w:val="22"/>
        </w:rPr>
        <w:t>Context: De Bank of Bird-in-Hand is een kleine bank in de VS die zich richt op de amish-gemeenschap.</w:t>
      </w:r>
    </w:p>
    <w:p>
      <w:pPr>
        <w:spacing w:after="120"/>
      </w:pPr>
      <w:r>
        <w:rPr>
          <w:rFonts w:ascii="Arial" w:hAnsi="Arial"/>
          <w:b w:val="0"/>
          <w:color w:val="2D3748"/>
          <w:sz w:val="22"/>
        </w:rPr>
      </w:r>
    </w:p>
    <w:p>
      <w:pPr>
        <w:spacing w:after="120"/>
      </w:pPr>
      <w:r>
        <w:rPr>
          <w:rFonts w:ascii="Arial" w:hAnsi="Arial"/>
          <w:b/>
          <w:color w:val="2D3748"/>
          <w:sz w:val="22"/>
        </w:rPr>
        <w:t>Vraag 4a — Waarin onderscheidt deze bank zich?</w:t>
      </w:r>
    </w:p>
    <w:tbl>
      <w:tblPr>
        <w:tblW w:type="auto" w:w="0"/>
        <w:tblLook w:firstColumn="1" w:firstRow="1" w:lastColumn="0" w:lastRow="0" w:noHBand="0" w:noVBand="1" w:val="04A0"/>
      </w:tblPr>
      <w:tblGrid>
        <w:gridCol w:w="8640"/>
      </w:tblGrid>
      <w:tr>
        <w:tc>
          <w:tcPr>
            <w:tcW w:type="dxa" w:w="8640"/>
            <w:shd w:fill="FFF8E1" w:val="clear"/>
            <w:tcBorders>
              <w:left w:val="single" w:sz="16" w:color="F59E0B"/>
            </w:tcBorders>
          </w:tcPr>
          <w:p>
            <w:r>
              <w:rPr>
                <w:rFonts w:ascii="Arial" w:hAnsi="Arial"/>
                <w:b/>
                <w:color w:val="F59E0B"/>
                <w:sz w:val="22"/>
              </w:rPr>
              <w:t xml:space="preserve">▶ Hint: </w:t>
            </w:r>
            <w:r>
              <w:rPr>
                <w:rFonts w:ascii="Arial" w:hAnsi="Arial"/>
                <w:color w:val="2D3748"/>
                <w:sz w:val="22"/>
              </w:rPr>
              <w:t>Kijk naar de doelgroep en het type service.</w:t>
            </w:r>
          </w:p>
        </w:tc>
      </w:tr>
    </w:tbl>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De bank richt zich op de agrarische sector met persoonlijke service.</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De bank differentieert zich door een specifieke niche te bedienen met maatwerk.</w:t>
            </w:r>
          </w:p>
        </w:tc>
      </w:tr>
    </w:tbl>
    <w:p/>
    <w:p>
      <w:pPr>
        <w:spacing w:after="120"/>
      </w:pPr>
      <w:r>
        <w:rPr>
          <w:rFonts w:ascii="Arial" w:hAnsi="Arial"/>
          <w:b w:val="0"/>
          <w:color w:val="2D3748"/>
          <w:sz w:val="22"/>
        </w:rPr>
      </w:r>
    </w:p>
    <w:p>
      <w:pPr>
        <w:spacing w:after="120"/>
      </w:pPr>
      <w:r>
        <w:rPr>
          <w:rFonts w:ascii="Arial" w:hAnsi="Arial"/>
          <w:b/>
          <w:color w:val="2D3748"/>
          <w:sz w:val="22"/>
        </w:rPr>
        <w:t>Vraag 4b — Op welke niche richt de bank zich?</w:t>
      </w:r>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De traditionele amish-gemeenschap.</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Een niche is een klein, specifiek deel van de markt. De bank bedient een gemeenschap met specifieke behoeften.</w:t>
            </w:r>
          </w:p>
        </w:tc>
      </w:tr>
    </w:tbl>
    <w:p/>
    <w:p>
      <w:pPr>
        <w:spacing w:after="120"/>
      </w:pPr>
      <w:r>
        <w:rPr>
          <w:rFonts w:ascii="Arial" w:hAnsi="Arial"/>
          <w:b w:val="0"/>
          <w:color w:val="2D3748"/>
          <w:sz w:val="22"/>
        </w:rPr>
      </w:r>
    </w:p>
    <w:p>
      <w:pPr>
        <w:spacing w:after="120"/>
      </w:pPr>
      <w:r>
        <w:rPr>
          <w:rFonts w:ascii="Arial" w:hAnsi="Arial"/>
          <w:b/>
          <w:color w:val="2D3748"/>
          <w:sz w:val="22"/>
        </w:rPr>
        <w:t>Vraag 4c — Wat kun je zeggen over de toetredingsdrempel?</w:t>
      </w:r>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Startkapitaal was 7 miljoen.</w:t>
            </w:r>
          </w:p>
          <w:p>
            <w:r>
              <w:rPr>
                <w:rFonts w:ascii="Arial" w:hAnsi="Arial"/>
                <w:color w:val="2D3748"/>
                <w:sz w:val="22"/>
              </w:rPr>
              <w:t>Dat was voldoende om te starten.</w:t>
            </w:r>
          </w:p>
          <w:p>
            <w:r>
              <w:rPr>
                <w:rFonts w:ascii="Arial" w:hAnsi="Arial"/>
                <w:color w:val="2D3748"/>
                <w:sz w:val="22"/>
              </w:rPr>
              <w:t>De toetredingsdrempel is dus relatief laag.</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7 miljoen is voor een bank relatief weinig. De drempel om toe te treden tot deze nichebank is dus niet erg hoog.</w:t>
            </w:r>
          </w:p>
        </w:tc>
      </w:tr>
    </w:tbl>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5</w:t>
            </w:r>
          </w:p>
        </w:tc>
        <w:tc>
          <w:tcPr>
            <w:tcW w:type="dxa" w:w="4320"/>
            <w:shd w:fill="EBF5FB" w:val="clear"/>
          </w:tcPr>
          <w:p>
            <w:r>
              <w:rPr>
                <w:rFonts w:ascii="Arial" w:hAnsi="Arial"/>
                <w:b/>
                <w:color w:val="1A5276"/>
                <w:sz w:val="28"/>
              </w:rPr>
              <w:t>Nestlé en concurrentie</w:t>
            </w:r>
          </w:p>
          <w:p>
            <w:r>
              <w:rPr>
                <w:rFonts w:ascii="Arial" w:hAnsi="Arial"/>
                <w:i/>
                <w:color w:val="1A5276"/>
                <w:sz w:val="18"/>
              </w:rPr>
              <w:t>Marktanalyse</w:t>
            </w:r>
          </w:p>
        </w:tc>
      </w:tr>
    </w:tbl>
    <w:p/>
    <w:p>
      <w:pPr>
        <w:spacing w:after="120"/>
      </w:pPr>
      <w:r>
        <w:rPr>
          <w:rFonts w:ascii="Arial" w:hAnsi="Arial"/>
          <w:b w:val="0"/>
          <w:color w:val="2D3748"/>
          <w:sz w:val="22"/>
        </w:rPr>
        <w:t>Context: Nestlé had een monopolie op koffiecapsules. Na het verlopen van patenten kwamen er concurrenten.</w:t>
      </w:r>
    </w:p>
    <w:p>
      <w:pPr>
        <w:spacing w:after="120"/>
      </w:pPr>
      <w:r>
        <w:rPr>
          <w:rFonts w:ascii="Arial" w:hAnsi="Arial"/>
          <w:b w:val="0"/>
          <w:color w:val="2D3748"/>
          <w:sz w:val="22"/>
        </w:rPr>
      </w:r>
    </w:p>
    <w:p>
      <w:pPr>
        <w:spacing w:after="120"/>
      </w:pPr>
      <w:r>
        <w:rPr>
          <w:rFonts w:ascii="Arial" w:hAnsi="Arial"/>
          <w:b/>
          <w:color w:val="2D3748"/>
          <w:sz w:val="22"/>
        </w:rPr>
        <w:t>Vraag 5 — Welk voordeel van concurrentie kun je uit deze bron halen?</w:t>
      </w:r>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Nestlé verloor het monopolie en probeert nu met innovatie marktaandeel te behouden.</w:t>
            </w:r>
          </w:p>
          <w:p>
            <w:r>
              <w:rPr>
                <w:rFonts w:ascii="Arial" w:hAnsi="Arial"/>
                <w:color w:val="2D3748"/>
                <w:sz w:val="22"/>
              </w:rPr>
              <w:t>Voordeel: concurrentie stimuleert innovatie.</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Zonder concurrentie had Nestlé geen reden om te innoveren. De dreiging van concurrenten dwingt het bedrijf om betere producten te maken.</w:t>
            </w:r>
          </w:p>
        </w:tc>
      </w:tr>
    </w:tbl>
    <w:p/>
    <w:p>
      <w:r>
        <w:br w:type="page"/>
      </w:r>
    </w:p>
    <w:tbl>
      <w:tblPr>
        <w:tblW w:type="auto" w:w="0"/>
        <w:tblLook w:firstColumn="1" w:firstRow="1" w:lastColumn="0" w:lastRow="0" w:noHBand="0" w:noVBand="1" w:val="04A0"/>
      </w:tblPr>
      <w:tblGrid>
        <w:gridCol w:w="4320"/>
        <w:gridCol w:w="4320"/>
      </w:tblGrid>
      <w:tr>
        <w:tc>
          <w:tcPr>
            <w:tcW w:type="dxa" w:w="800"/>
            <w:shd w:fill="1A5276" w:val="clear"/>
          </w:tcPr>
          <w:p>
            <w:pPr>
              <w:jc w:val="center"/>
            </w:pPr>
            <w:r>
              <w:rPr>
                <w:rFonts w:ascii="Arial" w:hAnsi="Arial"/>
                <w:b/>
                <w:color w:val="FFFFFF"/>
                <w:sz w:val="32"/>
              </w:rPr>
              <w:t>6</w:t>
            </w:r>
          </w:p>
        </w:tc>
        <w:tc>
          <w:tcPr>
            <w:tcW w:type="dxa" w:w="4320"/>
            <w:shd w:fill="EBF5FB" w:val="clear"/>
          </w:tcPr>
          <w:p>
            <w:r>
              <w:rPr>
                <w:rFonts w:ascii="Arial" w:hAnsi="Arial"/>
                <w:b/>
                <w:color w:val="1A5276"/>
                <w:sz w:val="28"/>
              </w:rPr>
              <w:t>Oligopolie in de praktijk</w:t>
            </w:r>
          </w:p>
          <w:p>
            <w:r>
              <w:rPr>
                <w:rFonts w:ascii="Arial" w:hAnsi="Arial"/>
                <w:i/>
                <w:color w:val="1A5276"/>
                <w:sz w:val="18"/>
              </w:rPr>
              <w:t>Marktanalyse</w:t>
            </w:r>
          </w:p>
        </w:tc>
      </w:tr>
    </w:tbl>
    <w:p/>
    <w:p>
      <w:pPr>
        <w:spacing w:after="120"/>
      </w:pPr>
      <w:r>
        <w:rPr>
          <w:rFonts w:ascii="Arial" w:hAnsi="Arial"/>
          <w:b w:val="0"/>
          <w:color w:val="2D3748"/>
          <w:sz w:val="22"/>
        </w:rPr>
      </w:r>
    </w:p>
    <w:p>
      <w:pPr>
        <w:spacing w:after="120"/>
      </w:pPr>
      <w:r>
        <w:rPr>
          <w:rFonts w:ascii="Arial" w:hAnsi="Arial"/>
          <w:b/>
          <w:color w:val="2D3748"/>
          <w:sz w:val="22"/>
        </w:rPr>
        <w:t>Vraag 6a — Welke marktvorm past op plaats A?</w:t>
      </w:r>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Oligopolie.</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Uit de context blijkt dat er weinig grote aanbieders zijn op deze markt.</w:t>
            </w:r>
          </w:p>
        </w:tc>
      </w:tr>
    </w:tbl>
    <w:p/>
    <w:p>
      <w:pPr>
        <w:spacing w:after="120"/>
      </w:pPr>
      <w:r>
        <w:rPr>
          <w:rFonts w:ascii="Arial" w:hAnsi="Arial"/>
          <w:b w:val="0"/>
          <w:color w:val="2D3748"/>
          <w:sz w:val="22"/>
        </w:rPr>
      </w:r>
    </w:p>
    <w:p>
      <w:pPr>
        <w:spacing w:after="120"/>
      </w:pPr>
      <w:r>
        <w:rPr>
          <w:rFonts w:ascii="Arial" w:hAnsi="Arial"/>
          <w:b/>
          <w:color w:val="2D3748"/>
          <w:sz w:val="22"/>
        </w:rPr>
        <w:t>Vraag 6b — Welk nadeel van deze marktvorm kun je afleiden?</w:t>
      </w:r>
    </w:p>
    <w:tbl>
      <w:tblPr>
        <w:tblW w:type="auto" w:w="0"/>
        <w:tblLook w:firstColumn="1" w:firstRow="1" w:lastColumn="0" w:lastRow="0" w:noHBand="0" w:noVBand="1" w:val="04A0"/>
      </w:tblPr>
      <w:tblGrid>
        <w:gridCol w:w="8640"/>
      </w:tblGrid>
      <w:tr>
        <w:tc>
          <w:tcPr>
            <w:tcW w:type="dxa" w:w="8640"/>
            <w:shd w:fill="E8F5E9" w:val="clear"/>
            <w:tcBorders>
              <w:left w:val="single" w:sz="16" w:color="1E8449"/>
            </w:tcBorders>
          </w:tcPr>
          <w:p>
            <w:r>
              <w:rPr>
                <w:rFonts w:ascii="Arial" w:hAnsi="Arial"/>
                <w:b/>
                <w:color w:val="1E8449"/>
                <w:sz w:val="22"/>
              </w:rPr>
              <w:t>✅ Antwoord:</w:t>
            </w:r>
          </w:p>
          <w:p>
            <w:r>
              <w:rPr>
                <w:rFonts w:ascii="Arial" w:hAnsi="Arial"/>
                <w:color w:val="2D3748"/>
                <w:sz w:val="22"/>
              </w:rPr>
              <w:t>Bij weinig aanbieders is er neiging om prijzen niet te verlagen.</w:t>
            </w:r>
          </w:p>
          <w:p>
            <w:r>
              <w:rPr>
                <w:rFonts w:ascii="Arial" w:hAnsi="Arial"/>
                <w:color w:val="2D3748"/>
                <w:sz w:val="22"/>
              </w:rPr>
              <w:t>Als één de prijs verlaagt, moeten anderen mee → iedereen verliest winst.</w:t>
            </w:r>
          </w:p>
          <w:p>
            <w:r>
              <w:rPr>
                <w:rFonts w:ascii="Arial" w:hAnsi="Arial"/>
                <w:color w:val="2D3748"/>
                <w:sz w:val="22"/>
              </w:rPr>
              <w:t>Nadeel: hoger prijsniveau voor de consument.</w:t>
            </w:r>
          </w:p>
        </w:tc>
      </w:tr>
    </w:tbl>
    <w:p/>
    <w:tbl>
      <w:tblPr>
        <w:tblW w:type="auto" w:w="0"/>
        <w:tblLook w:firstColumn="1" w:firstRow="1" w:lastColumn="0" w:lastRow="0" w:noHBand="0" w:noVBand="1" w:val="04A0"/>
      </w:tblPr>
      <w:tblGrid>
        <w:gridCol w:w="8640"/>
      </w:tblGrid>
      <w:tr>
        <w:tc>
          <w:tcPr>
            <w:tcW w:type="dxa" w:w="8640"/>
            <w:shd w:fill="EBF5FB" w:val="clear"/>
            <w:tcBorders>
              <w:left w:val="single" w:sz="16" w:color="1A5276"/>
            </w:tcBorders>
          </w:tcPr>
          <w:p>
            <w:r>
              <w:rPr>
                <w:rFonts w:ascii="Arial" w:hAnsi="Arial"/>
                <w:b/>
                <w:color w:val="1A5276"/>
                <w:sz w:val="22"/>
              </w:rPr>
              <w:t xml:space="preserve">▶ Uitleg: </w:t>
            </w:r>
            <w:r>
              <w:rPr>
                <w:rFonts w:ascii="Arial" w:hAnsi="Arial"/>
                <w:color w:val="2D3748"/>
                <w:sz w:val="22"/>
              </w:rPr>
              <w:t>Bij een oligopolie houden aanbieders rekening met elkaars reactie. Prijsverlaging leidt tot een prijzenoorlog die niemand wil. Daarom blijven prijzen relatief hoog, ten nadele van de consument.</w:t>
            </w:r>
          </w:p>
        </w:tc>
      </w:tr>
    </w:tbl>
    <w:p/>
    <w:p>
      <w:r>
        <w:br w:type="page"/>
      </w:r>
    </w:p>
    <w:p>
      <w:pPr>
        <w:spacing w:after="120"/>
      </w:pPr>
      <w:r>
        <w:rPr>
          <w:rFonts w:ascii="Arial" w:hAnsi="Arial"/>
          <w:b/>
          <w:color w:val="1E2761"/>
          <w:sz w:val="28"/>
        </w:rPr>
        <w:t>Samenvattend schema: Marktvormen</w:t>
      </w:r>
    </w:p>
    <w:p>
      <w:pPr>
        <w:spacing w:after="120"/>
      </w:pPr>
      <w:r>
        <w:rPr>
          <w:rFonts w:ascii="Arial" w:hAnsi="Arial"/>
          <w:b w:val="0"/>
          <w:color w:val="2D3748"/>
          <w:sz w:val="22"/>
        </w:rPr>
      </w:r>
    </w:p>
    <w:tbl>
      <w:tblPr>
        <w:tblW w:type="auto" w:w="0"/>
        <w:tblLook w:firstColumn="1" w:firstRow="1" w:lastColumn="0" w:lastRow="0" w:noHBand="0" w:noVBand="1" w:val="04A0"/>
      </w:tblPr>
      <w:tblGrid>
        <w:gridCol w:w="8640"/>
      </w:tblGrid>
      <w:tr>
        <w:tc>
          <w:tcPr>
            <w:tcW w:type="dxa" w:w="8640"/>
            <w:shd w:fill="F7F8FA" w:val="clear"/>
            <w:tcBorders>
              <w:left w:val="single" w:sz="16" w:color="1A5276"/>
            </w:tcBorders>
          </w:tcPr>
          <w:p>
            <w:r>
              <w:rPr>
                <w:rFonts w:ascii="Consolas" w:hAnsi="Consolas"/>
                <w:color w:val="2D3748"/>
                <w:sz w:val="22"/>
              </w:rPr>
              <w:t>Twee bepalende factoren:</w:t>
            </w:r>
          </w:p>
          <w:p>
            <w:r>
              <w:rPr>
                <w:rFonts w:ascii="Consolas" w:hAnsi="Consolas"/>
                <w:color w:val="2D3748"/>
                <w:sz w:val="22"/>
              </w:rPr>
              <w:t xml:space="preserve">  1. Aantal aanbieders (veel/weinig/één)</w:t>
            </w:r>
          </w:p>
          <w:p>
            <w:r>
              <w:rPr>
                <w:rFonts w:ascii="Consolas" w:hAnsi="Consolas"/>
                <w:color w:val="2D3748"/>
                <w:sz w:val="22"/>
              </w:rPr>
              <w:t xml:space="preserve">  2. Type product (homogeen/heterogeen)</w:t>
            </w:r>
          </w:p>
          <w:p>
            <w:r>
              <w:rPr>
                <w:rFonts w:ascii="Consolas" w:hAnsi="Consolas"/>
                <w:color w:val="2D3748"/>
                <w:sz w:val="22"/>
              </w:rPr>
            </w:r>
          </w:p>
          <w:p>
            <w:r>
              <w:rPr>
                <w:rFonts w:ascii="Consolas" w:hAnsi="Consolas"/>
                <w:color w:val="2D3748"/>
                <w:sz w:val="22"/>
              </w:rPr>
              <w:t>Marktvormen:</w:t>
            </w:r>
          </w:p>
          <w:p>
            <w:r>
              <w:rPr>
                <w:rFonts w:ascii="Consolas" w:hAnsi="Consolas"/>
                <w:color w:val="2D3748"/>
                <w:sz w:val="22"/>
              </w:rPr>
              <w:t xml:space="preserve">  Volkomen concurrentie = veel + homogeen</w:t>
            </w:r>
          </w:p>
          <w:p>
            <w:r>
              <w:rPr>
                <w:rFonts w:ascii="Consolas" w:hAnsi="Consolas"/>
                <w:color w:val="2D3748"/>
                <w:sz w:val="22"/>
              </w:rPr>
              <w:t xml:space="preserve">  Monopolistische concurrentie = veel + heterogeen</w:t>
            </w:r>
          </w:p>
          <w:p>
            <w:r>
              <w:rPr>
                <w:rFonts w:ascii="Consolas" w:hAnsi="Consolas"/>
                <w:color w:val="2D3748"/>
                <w:sz w:val="22"/>
              </w:rPr>
              <w:t xml:space="preserve">  Oligopolie = weinig + homogeen of heterogeen</w:t>
            </w:r>
          </w:p>
          <w:p>
            <w:r>
              <w:rPr>
                <w:rFonts w:ascii="Consolas" w:hAnsi="Consolas"/>
                <w:color w:val="2D3748"/>
                <w:sz w:val="22"/>
              </w:rPr>
              <w:t xml:space="preserve">  Monopolie = één aanbieder</w:t>
            </w:r>
          </w:p>
          <w:p>
            <w:r>
              <w:rPr>
                <w:rFonts w:ascii="Consolas" w:hAnsi="Consolas"/>
                <w:color w:val="2D3748"/>
                <w:sz w:val="22"/>
              </w:rPr>
            </w:r>
          </w:p>
          <w:p>
            <w:r>
              <w:rPr>
                <w:rFonts w:ascii="Consolas" w:hAnsi="Consolas"/>
                <w:color w:val="2D3748"/>
                <w:sz w:val="22"/>
              </w:rPr>
              <w:t>Vuistregel:</w:t>
            </w:r>
          </w:p>
          <w:p>
            <w:r>
              <w:rPr>
                <w:rFonts w:ascii="Consolas" w:hAnsi="Consolas"/>
                <w:color w:val="2D3748"/>
                <w:sz w:val="22"/>
              </w:rPr>
              <w:t xml:space="preserve">  Meer concurrentie = lagere prijs + meer innovatie</w:t>
            </w:r>
          </w:p>
          <w:p>
            <w:r>
              <w:rPr>
                <w:rFonts w:ascii="Consolas" w:hAnsi="Consolas"/>
                <w:color w:val="2D3748"/>
                <w:sz w:val="22"/>
              </w:rPr>
              <w:t xml:space="preserve">  Minder concurrentie = hogere prijs + minder keuze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