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Monopolistische concurrentie</w:t>
      </w:r>
    </w:p>
    <w:p>
      <w:pPr>
        <w:spacing w:after="40"/>
        <w:jc w:val="center"/>
      </w:pPr>
      <w:r>
        <w:rPr>
          <w:rFonts w:ascii="Arial" w:cs="Arial" w:eastAsia="Arial" w:hAnsi="Arial"/>
          <w:color w:val="718096"/>
          <w:sz w:val="26"/>
          <w:szCs w:val="26"/>
        </w:rPr>
        <w:t xml:space="preserve">Begeleide Inoefening — Paragraaf 3.2.5</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 </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Kenmerken van monopolistische concurrentie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Vul de juiste woorden in.</w:t>
      </w:r>
    </w:p>
    <w:p>
      <w:pPr>
        <w:spacing w:after="80"/>
      </w:pPr>
    </w:p>
    <w:p>
      <w:pPr>
        <w:pStyle w:val="Heading2"/>
        <w:spacing w:after="120" w:before="200"/>
      </w:pPr>
      <w:r>
        <w:rPr>
          <w:rFonts w:ascii="Arial" w:cs="Arial" w:eastAsia="Arial" w:hAnsi="Arial"/>
          <w:b/>
          <w:bCs/>
          <w:color w:val="1A5276"/>
          <w:sz w:val="24"/>
          <w:szCs w:val="24"/>
        </w:rPr>
        <w:t xml:space="preserve">Vraag 1 — Invuloefening monopolistische concurrentie</w:t>
      </w:r>
    </w:p>
    <w:p>
      <w:pPr>
        <w:spacing w:after="120"/>
      </w:pPr>
      <w:r>
        <w:rPr>
          <w:rFonts w:ascii="Arial" w:cs="Arial" w:eastAsia="Arial" w:hAnsi="Arial"/>
          <w:color w:val="2D3748"/>
          <w:sz w:val="22"/>
          <w:szCs w:val="22"/>
        </w:rPr>
        <w:t xml:space="preserve">Op een markt van monopolistische concurrentie is sprake van een …A… product. Als een nieuwe aanbieder toetreedt op deze markt, verschuift de vraaglijn naar …B… en verschuift de residuele vraaglijn van de andere aanbieders naar …C….</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wat voor soort product bieden aanbieders aan bij monopolistische concurrentie?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na: wat gebeurt er met de totale vraag als er meer variatie komt?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Denk na: wat gebeurt er met het marktaandeel van bestaande aanbieders als er een concurrent bijkomt?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monopolistische concurrentie onderscheiden aanbieders zich van elkaar. Meer keuze trekt klanten aan, maar elke aanbieder krijgt een kleiner stuk van de taart.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 = heterogeen</w:t>
            </w:r>
          </w:p>
          <w:p>
            <w:pPr>
              <w:spacing w:after="80"/>
            </w:pPr>
            <w:r>
              <w:rPr>
                <w:rFonts w:ascii="Arial" w:cs="Arial" w:eastAsia="Arial" w:hAnsi="Arial"/>
                <w:color w:val="2D3748"/>
                <w:sz w:val="22"/>
                <w:szCs w:val="22"/>
              </w:rPr>
              <w:t xml:space="preserve">Aanbieders bieden een gedifferentieerd (uniek) product aan.</w:t>
            </w:r>
          </w:p>
          <w:p>
            <w:pPr>
              <w:spacing w:after="80"/>
            </w:pPr>
            <w:r>
              <w:rPr>
                <w:rFonts w:ascii="Arial" w:cs="Arial" w:eastAsia="Arial" w:hAnsi="Arial"/>
                <w:b/>
                <w:bCs/>
                <w:color w:val="2D3748"/>
                <w:sz w:val="22"/>
                <w:szCs w:val="22"/>
              </w:rPr>
              <w:t xml:space="preserve">B = rechts</w:t>
            </w:r>
          </w:p>
          <w:p>
            <w:pPr>
              <w:spacing w:after="80"/>
            </w:pPr>
            <w:r>
              <w:rPr>
                <w:rFonts w:ascii="Arial" w:cs="Arial" w:eastAsia="Arial" w:hAnsi="Arial"/>
                <w:color w:val="2D3748"/>
                <w:sz w:val="22"/>
                <w:szCs w:val="22"/>
              </w:rPr>
              <w:t xml:space="preserve">Een bredere keuze trekt meer vragers aan → de totale marktvraag stijgt.</w:t>
            </w:r>
          </w:p>
          <w:p>
            <w:pPr>
              <w:spacing w:after="80"/>
            </w:pPr>
            <w:r>
              <w:rPr>
                <w:rFonts w:ascii="Arial" w:cs="Arial" w:eastAsia="Arial" w:hAnsi="Arial"/>
                <w:b/>
                <w:bCs/>
                <w:color w:val="2D3748"/>
                <w:sz w:val="22"/>
                <w:szCs w:val="22"/>
              </w:rPr>
              <w:t xml:space="preserve">C = links</w:t>
            </w:r>
          </w:p>
          <w:p>
            <w:pPr>
              <w:spacing w:after="80"/>
            </w:pPr>
            <w:r>
              <w:rPr>
                <w:rFonts w:ascii="Arial" w:cs="Arial" w:eastAsia="Arial" w:hAnsi="Arial"/>
                <w:color w:val="2D3748"/>
                <w:sz w:val="22"/>
                <w:szCs w:val="22"/>
              </w:rPr>
              <w:t xml:space="preserve">Door sterkere concurrentie blijft er voor de individuele aanbieder een kleiner deel van de markt over.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het kernmechanisme van monopolistische concurrentie: toetreding vergroot de markt (vraaglijn naar rechts) maar verkleint het individuele marktaandeel (residuele vraag naar links). Dit proces gaat door totdat de winst op nul staat.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Lange termijn bij monopolistische concurrentie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Bekijk bron 4. Kan deze situatie op lange termijn standhouden op een markt van monopolistische concurrentie? Verklaar je antwoord.</w:t>
      </w:r>
    </w:p>
    <w:p>
      <w:pPr>
        <w:spacing w:after="80"/>
      </w:pPr>
    </w:p>
    <w:p>
      <w:pPr>
        <w:pStyle w:val="Heading2"/>
        <w:spacing w:after="120" w:before="200"/>
      </w:pPr>
      <w:r>
        <w:rPr>
          <w:rFonts w:ascii="Arial" w:cs="Arial" w:eastAsia="Arial" w:hAnsi="Arial"/>
          <w:b/>
          <w:bCs/>
          <w:color w:val="E67E22"/>
          <w:sz w:val="24"/>
          <w:szCs w:val="24"/>
        </w:rPr>
        <w:t xml:space="preserve">Vraag 2 — Houdbaarheid op lange termijn</w:t>
      </w:r>
    </w:p>
    <w:p>
      <w:pPr>
        <w:spacing w:after="120"/>
      </w:pPr>
      <w:r>
        <w:rPr>
          <w:rFonts w:ascii="Arial" w:cs="Arial" w:eastAsia="Arial" w:hAnsi="Arial"/>
          <w:color w:val="2D3748"/>
          <w:sz w:val="22"/>
          <w:szCs w:val="22"/>
        </w:rPr>
        <w:t xml:space="preserve">Kan de situatie in bron 4 op lange termijn standhouden?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Bekijk bron 4: maakt de aanbieder winst of verlies?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Bedenk: wat gebeurt er als er winst is op een markt met lage toetredingsdrempels?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Beschrijf het aanpassingsproces totdat het lange-termijnevenwicht bereikt 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Bij monopolistische concurrentie zijn de toetredingsdrempels laag. Wat trekt winst aan?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deze situatie kan niet standhouden.</w:t>
            </w:r>
          </w:p>
          <w:p>
            <w:pPr>
              <w:spacing w:after="80"/>
            </w:pPr>
            <w:r>
              <w:rPr>
                <w:rFonts w:ascii="Arial" w:cs="Arial" w:eastAsia="Arial" w:hAnsi="Arial"/>
                <w:color w:val="2D3748"/>
                <w:sz w:val="22"/>
                <w:szCs w:val="22"/>
              </w:rPr>
              <w:t xml:space="preserve">Als er winst wordt gemaakt, treden nieuwe aanbieders toe (lage toetredingsdrempels).</w:t>
            </w:r>
          </w:p>
          <w:p>
            <w:pPr>
              <w:spacing w:after="80"/>
            </w:pPr>
            <w:r>
              <w:rPr>
                <w:rFonts w:ascii="Arial" w:cs="Arial" w:eastAsia="Arial" w:hAnsi="Arial"/>
                <w:color w:val="2D3748"/>
                <w:sz w:val="22"/>
                <w:szCs w:val="22"/>
              </w:rPr>
              <w:t xml:space="preserve">De residuele vraaglijn verschuift naar links → winst neemt af.</w:t>
            </w:r>
          </w:p>
          <w:p>
            <w:pPr>
              <w:spacing w:after="80"/>
            </w:pPr>
            <w:r>
              <w:rPr>
                <w:rFonts w:ascii="Arial" w:cs="Arial" w:eastAsia="Arial" w:hAnsi="Arial"/>
                <w:b/>
                <w:bCs/>
                <w:color w:val="2D3748"/>
                <w:sz w:val="22"/>
                <w:szCs w:val="22"/>
              </w:rPr>
              <w:t xml:space="preserve">Op lange termijn: GO-lijn raakt GTK-lijn → winst = 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lange-termijnevenwicht bij monopolistische concurrentie kenmerkt zich door nulwinst. De vraaglijn raakt de GTK-lijn (is er tangent aan). Dit verschilt van volkomen concurrentie, waar de prijs gelijk is aan het minimum van de GTK.</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Vergelijking met volkomen concurrentie</w:t>
            </w:r>
          </w:p>
          <w:p>
            <w:pPr>
              <w:spacing w:before="40"/>
            </w:pPr>
            <w:r>
              <w:rPr>
                <w:rFonts w:ascii="Arial" w:cs="Arial" w:eastAsia="Arial" w:hAnsi="Arial"/>
                <w:i/>
                <w:iCs/>
                <w:color w:val="E67E22"/>
                <w:sz w:val="18"/>
                <w:szCs w:val="18"/>
              </w:rPr>
              <w:t xml:space="preserve">Bedrijfseconomie</w:t>
            </w:r>
          </w:p>
        </w:tc>
      </w:tr>
    </w:tbl>
    <w:p>
      <w:pPr>
        <w:spacing w:after="80"/>
      </w:pPr>
    </w:p>
    <w:p>
      <w:pPr>
        <w:spacing w:after="120"/>
      </w:pPr>
      <w:r>
        <w:rPr>
          <w:rFonts w:ascii="Arial" w:cs="Arial" w:eastAsia="Arial" w:hAnsi="Arial"/>
          <w:color w:val="2D3748"/>
          <w:sz w:val="22"/>
          <w:szCs w:val="22"/>
        </w:rPr>
        <w:t xml:space="preserve">Kies het juiste woord en verklaar je keuze.</w:t>
      </w:r>
    </w:p>
    <w:p>
      <w:pPr>
        <w:spacing w:after="80"/>
      </w:pPr>
    </w:p>
    <w:p>
      <w:pPr>
        <w:pStyle w:val="Heading2"/>
        <w:spacing w:after="120" w:before="200"/>
      </w:pPr>
      <w:r>
        <w:rPr>
          <w:rFonts w:ascii="Arial" w:cs="Arial" w:eastAsia="Arial" w:hAnsi="Arial"/>
          <w:b/>
          <w:bCs/>
          <w:color w:val="E67E22"/>
          <w:sz w:val="24"/>
          <w:szCs w:val="24"/>
        </w:rPr>
        <w:t xml:space="preserve">Vraag 3a — Productieomvang vergelijken</w:t>
      </w:r>
    </w:p>
    <w:p>
      <w:pPr>
        <w:spacing w:after="120"/>
      </w:pPr>
      <w:r>
        <w:rPr>
          <w:rFonts w:ascii="Arial" w:cs="Arial" w:eastAsia="Arial" w:hAnsi="Arial"/>
          <w:color w:val="2D3748"/>
          <w:sz w:val="22"/>
          <w:szCs w:val="22"/>
        </w:rPr>
        <w:t xml:space="preserve">Op de lange termijn produceert een aanbieder meer / minder bij volkomen concurrentie dan bij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Vergelijk de productie-omvang in het lange-termijnevenwicht. Bij volkomen concurrentie produceert men in het minimum van de GTK-lijn. Bij monopolistische concurrentie links daarvan.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Meer bij volkomen concurrentie</w:t>
            </w:r>
          </w:p>
          <w:p>
            <w:pPr>
              <w:spacing w:after="80"/>
            </w:pPr>
            <w:r>
              <w:rPr>
                <w:rFonts w:ascii="Arial" w:cs="Arial" w:eastAsia="Arial" w:hAnsi="Arial"/>
                <w:color w:val="2D3748"/>
                <w:sz w:val="22"/>
                <w:szCs w:val="22"/>
              </w:rPr>
              <w:t xml:space="preserve">Bij volkomen concurrentie: productie op het minimum van de GTK-lijn (efficiënte schaal).</w:t>
            </w:r>
          </w:p>
          <w:p>
            <w:pPr>
              <w:spacing w:after="80"/>
            </w:pPr>
            <w:r>
              <w:rPr>
                <w:rFonts w:ascii="Arial" w:cs="Arial" w:eastAsia="Arial" w:hAnsi="Arial"/>
                <w:color w:val="2D3748"/>
                <w:sz w:val="22"/>
                <w:szCs w:val="22"/>
              </w:rPr>
              <w:t xml:space="preserve">Bij monopolistische concurrentie: productie links van het minimum (op het dalende deel van de GTK).</w:t>
            </w:r>
          </w:p>
          <w:p>
            <w:pPr>
              <w:spacing w:after="80"/>
            </w:pPr>
            <w:r>
              <w:rPr>
                <w:rFonts w:ascii="Arial" w:cs="Arial" w:eastAsia="Arial" w:hAnsi="Arial"/>
                <w:color w:val="2D3748"/>
                <w:sz w:val="22"/>
                <w:szCs w:val="22"/>
              </w:rPr>
              <w:t xml:space="preserve">De aanbieder bij monopolistische concurrentie heeft overcapaciteit.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Dit is het 'excess capacity'-theorema: bij monopolistische concurrentie produceert elke aanbieder minder dan de efficiënte schaal. Er zijn dus 'te veel' aanbieders die elk 'te weinig' produceren. De keerzijde is meer productdifferentiatie en keuzevrijheid voor de consument.</w:t>
            </w:r>
          </w:p>
        </w:tc>
      </w:tr>
    </w:tbl>
    <w:p>
      <w:pPr>
        <w:spacing w:after="80"/>
      </w:pPr>
    </w:p>
    <w:p>
      <w:pPr>
        <w:pStyle w:val="Heading2"/>
        <w:spacing w:after="120" w:before="200"/>
      </w:pPr>
      <w:r>
        <w:rPr>
          <w:rFonts w:ascii="Arial" w:cs="Arial" w:eastAsia="Arial" w:hAnsi="Arial"/>
          <w:b/>
          <w:bCs/>
          <w:color w:val="E67E22"/>
          <w:sz w:val="24"/>
          <w:szCs w:val="24"/>
        </w:rPr>
        <w:t xml:space="preserve">Vraag 3b — Winst op lange termijn</w:t>
      </w:r>
    </w:p>
    <w:p>
      <w:pPr>
        <w:spacing w:after="120"/>
      </w:pPr>
      <w:r>
        <w:rPr>
          <w:rFonts w:ascii="Arial" w:cs="Arial" w:eastAsia="Arial" w:hAnsi="Arial"/>
          <w:color w:val="2D3748"/>
          <w:sz w:val="22"/>
          <w:szCs w:val="22"/>
        </w:rPr>
        <w:t xml:space="preserve">Op de lange termijn maakt een aanbieder wel / geen winst bij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effect van vrije toetreding bij positieve winst.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Geen winst op lange termijn</w:t>
            </w:r>
          </w:p>
          <w:p>
            <w:pPr>
              <w:spacing w:after="80"/>
            </w:pPr>
            <w:r>
              <w:rPr>
                <w:rFonts w:ascii="Arial" w:cs="Arial" w:eastAsia="Arial" w:hAnsi="Arial"/>
                <w:color w:val="2D3748"/>
                <w:sz w:val="22"/>
                <w:szCs w:val="22"/>
              </w:rPr>
              <w:t xml:space="preserve">Winst lokt toetreding uit. Toetreding vermindert de winst (residuele vraag verschuift naar links).</w:t>
            </w:r>
          </w:p>
          <w:p>
            <w:pPr>
              <w:spacing w:after="80"/>
            </w:pPr>
            <w:r>
              <w:rPr>
                <w:rFonts w:ascii="Arial" w:cs="Arial" w:eastAsia="Arial" w:hAnsi="Arial"/>
                <w:color w:val="2D3748"/>
                <w:sz w:val="22"/>
                <w:szCs w:val="22"/>
              </w:rPr>
              <w:t xml:space="preserve">Dit proces gaat door totdat alle winst verdwenen is.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Net als bij volkomen concurrentie is de lange-termijnwinst nul. Het verschil is de productieomvang (lager) en de prijs (hoger) bij monopolistische concurrentie. De consument betaalt een 'premium' voor productdifferentiatie.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Bestemmingsplannen en gedifferentieerde toetreding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'Bestemmingsplannen en gedifferentieerde toetreding'.</w:t>
      </w:r>
    </w:p>
    <w:p>
      <w:pPr>
        <w:spacing w:after="80"/>
      </w:pPr>
    </w:p>
    <w:p>
      <w:pPr>
        <w:pStyle w:val="Heading2"/>
        <w:spacing w:after="120" w:before="200"/>
      </w:pPr>
      <w:r>
        <w:rPr>
          <w:rFonts w:ascii="Arial" w:cs="Arial" w:eastAsia="Arial" w:hAnsi="Arial"/>
          <w:b/>
          <w:bCs/>
          <w:color w:val="1A5276"/>
          <w:sz w:val="24"/>
          <w:szCs w:val="24"/>
        </w:rPr>
        <w:t xml:space="preserve">Vraag 4a — Monopolistische concurrentie herkennen</w:t>
      </w:r>
    </w:p>
    <w:p>
      <w:pPr>
        <w:spacing w:after="120"/>
      </w:pPr>
      <w:r>
        <w:rPr>
          <w:rFonts w:ascii="Arial" w:cs="Arial" w:eastAsia="Arial" w:hAnsi="Arial"/>
          <w:color w:val="2D3748"/>
          <w:sz w:val="22"/>
          <w:szCs w:val="22"/>
        </w:rPr>
        <w:t xml:space="preserve">Waaruit blijkt dat in steden waar supermarkten zich op een beperkt aantal plaatsen mogen vestigen er sprake is van monopolistische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Wat doen winkels als ze dicht bij elkaar moeten zitten?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steden waar supermarkten zich dichtbij elkaar moeten vestigen, gaan ze zich van elkaar onderscheiden om een eigen niche te creëren.</w:t>
            </w:r>
          </w:p>
          <w:p>
            <w:pPr>
              <w:spacing w:after="80"/>
            </w:pPr>
            <w:r>
              <w:rPr>
                <w:rFonts w:ascii="Arial" w:cs="Arial" w:eastAsia="Arial" w:hAnsi="Arial"/>
                <w:b/>
                <w:bCs/>
                <w:color w:val="2D3748"/>
                <w:sz w:val="22"/>
                <w:szCs w:val="22"/>
              </w:rPr>
              <w:t xml:space="preserve">Dit productdifferentiatiegedrag is kenmerkend voor monopolistische concurrentie.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Nabijheid dwingt aanbieders tot differentiatie. Zonder differentiatie zou er een prijzenoorlog ontstaan (Bertrand). Door uniek te zijn, creëert elke aanbieder een eigen deelmarkt.</w:t>
            </w:r>
          </w:p>
        </w:tc>
      </w:tr>
    </w:tbl>
    <w:p>
      <w:pPr>
        <w:spacing w:after="80"/>
      </w:pPr>
    </w:p>
    <w:p>
      <w:pPr>
        <w:pStyle w:val="Heading2"/>
        <w:spacing w:after="120" w:before="200"/>
      </w:pPr>
      <w:r>
        <w:rPr>
          <w:rFonts w:ascii="Arial" w:cs="Arial" w:eastAsia="Arial" w:hAnsi="Arial"/>
          <w:b/>
          <w:bCs/>
          <w:color w:val="1A5276"/>
          <w:sz w:val="24"/>
          <w:szCs w:val="24"/>
        </w:rPr>
        <w:t xml:space="preserve">Vraag 4b — Effect op winkelaanbod</w:t>
      </w:r>
    </w:p>
    <w:p>
      <w:pPr>
        <w:spacing w:after="120"/>
      </w:pPr>
      <w:r>
        <w:rPr>
          <w:rFonts w:ascii="Arial" w:cs="Arial" w:eastAsia="Arial" w:hAnsi="Arial"/>
          <w:color w:val="2D3748"/>
          <w:sz w:val="22"/>
          <w:szCs w:val="22"/>
        </w:rPr>
        <w:t xml:space="preserve">Wat is de te verwachten invloed van bestemmingsplannen met maar een beperkt aantal vestigingsgebieden op het winkelaanbod?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Winkels worden gedwongen bij elkaar te gaan zitten op een beperkt aantal plaatsen.</w:t>
            </w:r>
          </w:p>
          <w:p>
            <w:pPr>
              <w:spacing w:after="80"/>
            </w:pPr>
            <w:r>
              <w:rPr>
                <w:rFonts w:ascii="Arial" w:cs="Arial" w:eastAsia="Arial" w:hAnsi="Arial"/>
                <w:color w:val="2D3748"/>
                <w:sz w:val="22"/>
                <w:szCs w:val="22"/>
              </w:rPr>
              <w:t xml:space="preserve">In reactie hierop zullen winkels zich van elkaar gaan onderscheiden.</w:t>
            </w:r>
          </w:p>
          <w:p>
            <w:pPr>
              <w:spacing w:after="80"/>
            </w:pPr>
            <w:r>
              <w:rPr>
                <w:rFonts w:ascii="Arial" w:cs="Arial" w:eastAsia="Arial" w:hAnsi="Arial"/>
                <w:color w:val="2D3748"/>
                <w:sz w:val="22"/>
                <w:szCs w:val="22"/>
              </w:rPr>
              <w:t xml:space="preserve">De variatie van het winkelaanbod neemt toe, maar het totale aantal winkels neemt af.</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Bestemmingsplannen beperken de vestigingsmogelijkheden (hogere toetredingsdrempel door locatiebeperking). Tegelijkertijd stimuleren ze productdifferentiatie bij de winkels die er wél zijn.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Horecagelegenheden in Limburg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bron 5. In 2009 waren er in Limburg 573 eetcafés.</w:t>
      </w:r>
    </w:p>
    <w:p>
      <w:pPr>
        <w:spacing w:after="80"/>
      </w:pPr>
    </w:p>
    <w:p>
      <w:pPr>
        <w:pStyle w:val="Heading2"/>
        <w:spacing w:after="120" w:before="200"/>
      </w:pPr>
      <w:r>
        <w:rPr>
          <w:rFonts w:ascii="Arial" w:cs="Arial" w:eastAsia="Arial" w:hAnsi="Arial"/>
          <w:b/>
          <w:bCs/>
          <w:color w:val="1A5276"/>
          <w:sz w:val="24"/>
          <w:szCs w:val="24"/>
        </w:rPr>
        <w:t xml:space="preserve">Vraag 5a — Marktvorm bepalen</w:t>
      </w:r>
    </w:p>
    <w:p>
      <w:pPr>
        <w:spacing w:after="120"/>
      </w:pPr>
      <w:r>
        <w:rPr>
          <w:rFonts w:ascii="Arial" w:cs="Arial" w:eastAsia="Arial" w:hAnsi="Arial"/>
          <w:color w:val="2D3748"/>
          <w:sz w:val="22"/>
          <w:szCs w:val="22"/>
        </w:rPr>
        <w:t xml:space="preserve">Welke marktvorm past het best bij de markt van horecagelegenheden in Limburg? Verklaar je antwoord door drie kenmerken van de marktstructuur te bespreken.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Monopolistische concurrentie</w:t>
            </w:r>
          </w:p>
          <w:p>
            <w:pPr>
              <w:spacing w:after="80"/>
            </w:pPr>
            <w:r>
              <w:rPr>
                <w:rFonts w:ascii="Arial" w:cs="Arial" w:eastAsia="Arial" w:hAnsi="Arial"/>
                <w:color w:val="2D3748"/>
                <w:sz w:val="22"/>
                <w:szCs w:val="22"/>
              </w:rPr>
              <w:t xml:space="preserve">1. Er zijn veel aanbieders (restaurants, cafés, eetcafés).</w:t>
            </w:r>
          </w:p>
          <w:p>
            <w:pPr>
              <w:spacing w:after="80"/>
            </w:pPr>
            <w:r>
              <w:rPr>
                <w:rFonts w:ascii="Arial" w:cs="Arial" w:eastAsia="Arial" w:hAnsi="Arial"/>
                <w:color w:val="2D3748"/>
                <w:sz w:val="22"/>
                <w:szCs w:val="22"/>
              </w:rPr>
              <w:t xml:space="preserve">2. Er wordt een heterogeen product aangeboden (elk restaurant is uniek in sfeer, keuken, prijs).</w:t>
            </w:r>
          </w:p>
          <w:p>
            <w:pPr>
              <w:spacing w:after="80"/>
            </w:pPr>
            <w:r>
              <w:rPr>
                <w:rFonts w:ascii="Arial" w:cs="Arial" w:eastAsia="Arial" w:hAnsi="Arial"/>
                <w:color w:val="2D3748"/>
                <w:sz w:val="22"/>
                <w:szCs w:val="22"/>
              </w:rPr>
              <w:t xml:space="preserve">3. De toetredingsdrempels zijn relatief laag (iedereen kan een horecazaak openen).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horecamarkt is een klassiek voorbeeld van monopolistische concurrentie: veel aanbieders, productdifferentiatie, en vrije toetreding.</w:t>
            </w:r>
          </w:p>
        </w:tc>
      </w:tr>
    </w:tbl>
    <w:p>
      <w:pPr>
        <w:spacing w:after="80"/>
      </w:pPr>
    </w:p>
    <w:p>
      <w:pPr>
        <w:pStyle w:val="Heading2"/>
        <w:spacing w:after="120" w:before="200"/>
      </w:pPr>
      <w:r>
        <w:rPr>
          <w:rFonts w:ascii="Arial" w:cs="Arial" w:eastAsia="Arial" w:hAnsi="Arial"/>
          <w:b/>
          <w:bCs/>
          <w:color w:val="1A5276"/>
          <w:sz w:val="24"/>
          <w:szCs w:val="24"/>
        </w:rPr>
        <w:t xml:space="preserve">Vraag 5b — Toename eetgelegenheden</w:t>
      </w:r>
    </w:p>
    <w:p>
      <w:pPr>
        <w:spacing w:after="120"/>
      </w:pPr>
      <w:r>
        <w:rPr>
          <w:rFonts w:ascii="Arial" w:cs="Arial" w:eastAsia="Arial" w:hAnsi="Arial"/>
          <w:color w:val="2D3748"/>
          <w:sz w:val="22"/>
          <w:szCs w:val="22"/>
        </w:rPr>
        <w:t xml:space="preserve">Waarom zouden er steeds meer horecagelegenheden in Limburg zijn waar gegeten kan worden?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Veranderende behoeften van consumenten: meer buitenshuis eten, meer behoefte aan variatie.</w:t>
            </w:r>
          </w:p>
          <w:p>
            <w:pPr>
              <w:spacing w:after="80"/>
            </w:pPr>
            <w:r>
              <w:rPr>
                <w:rFonts w:ascii="Arial" w:cs="Arial" w:eastAsia="Arial" w:hAnsi="Arial"/>
                <w:color w:val="2D3748"/>
                <w:sz w:val="22"/>
                <w:szCs w:val="22"/>
              </w:rPr>
              <w:t xml:space="preserve">Stijgend inkomen maakt uit eten gaan bereikbaarder.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De vraag naar horeca-diensten verschuift naar rechts door veranderende voorkeuren en stijgend inkomen. Dit trekt nieuwe aanbieders aan.</w:t>
            </w:r>
          </w:p>
        </w:tc>
      </w:tr>
    </w:tbl>
    <w:p>
      <w:pPr>
        <w:spacing w:after="80"/>
      </w:pPr>
    </w:p>
    <w:p>
      <w:pPr>
        <w:pStyle w:val="Heading2"/>
        <w:spacing w:after="120" w:before="200"/>
      </w:pPr>
      <w:r>
        <w:rPr>
          <w:rFonts w:ascii="Arial" w:cs="Arial" w:eastAsia="Arial" w:hAnsi="Arial"/>
          <w:b/>
          <w:bCs/>
          <w:color w:val="1A5276"/>
          <w:sz w:val="24"/>
          <w:szCs w:val="24"/>
        </w:rPr>
        <w:t xml:space="preserve">Vraag 5c — Vraagontwikkeling</w:t>
      </w:r>
    </w:p>
    <w:p>
      <w:pPr>
        <w:spacing w:after="120"/>
      </w:pPr>
      <w:r>
        <w:rPr>
          <w:rFonts w:ascii="Arial" w:cs="Arial" w:eastAsia="Arial" w:hAnsi="Arial"/>
          <w:color w:val="2D3748"/>
          <w:sz w:val="22"/>
          <w:szCs w:val="22"/>
        </w:rPr>
        <w:t xml:space="preserve">Is de vraag naar 'eten in horecazaken' in Limburg toegenomen?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Ja, de vraag stijgt.</w:t>
            </w:r>
          </w:p>
          <w:p>
            <w:pPr>
              <w:spacing w:after="80"/>
            </w:pPr>
            <w:r>
              <w:rPr>
                <w:rFonts w:ascii="Arial" w:cs="Arial" w:eastAsia="Arial" w:hAnsi="Arial"/>
                <w:color w:val="2D3748"/>
                <w:sz w:val="22"/>
                <w:szCs w:val="22"/>
              </w:rPr>
              <w:t xml:space="preserve">Consumenten hebben meer te kiezen, waardoor de kans dat ze in een horecazaak gaan eten toeneemt.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Meer aanbod en variatie stimuleert de vraag — een positief feedbackeffect dat kenmerkend is voor monopolistische concurrentie.</w:t>
            </w:r>
          </w:p>
        </w:tc>
      </w:tr>
    </w:tbl>
    <w:p>
      <w:pPr>
        <w:spacing w:after="80"/>
      </w:pPr>
    </w:p>
    <w:p>
      <w:pPr>
        <w:pStyle w:val="Heading2"/>
        <w:spacing w:after="120" w:before="200"/>
      </w:pPr>
      <w:r>
        <w:rPr>
          <w:rFonts w:ascii="Arial" w:cs="Arial" w:eastAsia="Arial" w:hAnsi="Arial"/>
          <w:b/>
          <w:bCs/>
          <w:color w:val="1A5276"/>
          <w:sz w:val="24"/>
          <w:szCs w:val="24"/>
        </w:rPr>
        <w:t xml:space="preserve">Vraag 5d — Marktaandeel berekenen</w:t>
      </w:r>
    </w:p>
    <w:p>
      <w:pPr>
        <w:spacing w:after="120"/>
      </w:pPr>
      <w:r>
        <w:rPr>
          <w:rFonts w:ascii="Arial" w:cs="Arial" w:eastAsia="Arial" w:hAnsi="Arial"/>
          <w:color w:val="2D3748"/>
          <w:sz w:val="22"/>
          <w:szCs w:val="22"/>
        </w:rPr>
        <w:t xml:space="preserve">Bereken het marktaandeel van eetcafés in 2019.</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Aantal eetcafés in 2019: 573 + 276 = 849</w:t>
            </w:r>
          </w:p>
          <w:p>
            <w:pPr>
              <w:spacing w:after="80"/>
            </w:pPr>
            <w:r>
              <w:rPr>
                <w:rFonts w:ascii="Arial" w:cs="Arial" w:eastAsia="Arial" w:hAnsi="Arial"/>
                <w:color w:val="2D3748"/>
                <w:sz w:val="22"/>
                <w:szCs w:val="22"/>
              </w:rPr>
              <w:t xml:space="preserve">Totaal aantal horecagelegenheden: 4.000</w:t>
            </w:r>
          </w:p>
          <w:p>
            <w:pPr>
              <w:spacing w:after="80"/>
            </w:pPr>
            <w:r>
              <w:rPr>
                <w:rFonts w:ascii="Arial" w:cs="Arial" w:eastAsia="Arial" w:hAnsi="Arial"/>
                <w:b/>
                <w:bCs/>
                <w:color w:val="2D3748"/>
                <w:sz w:val="22"/>
                <w:szCs w:val="22"/>
              </w:rPr>
              <w:t xml:space="preserve">Marktaandeel = 849 / 4.000 × 100% = 21,2%</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 </w:t>
            </w:r>
            <w:r>
              <w:rPr>
                <w:rFonts w:ascii="Arial" w:cs="Arial" w:eastAsia="Arial" w:hAnsi="Arial"/>
                <w:color w:val="2D3748"/>
                <w:sz w:val="22"/>
                <w:szCs w:val="22"/>
              </w:rPr>
              <w:t xml:space="preserve">Het marktaandeel geeft aan welk deel van de totale markt door eetcafés wordt ingenomen. Met 21,2% is dit een substantieel maar geen dominant aandeel — passend bij monopolistische concurrentie.</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Monopolistische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heterogeen product, lage toetredingsdrempels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Heterogeen product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Gedifferentieerd product — aanbieders onderscheiden zich (merk, kwaliteit, locatie)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Residuele vraag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Het deel van de marktvraag dat een individuele aanbieder bedient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Korte termijn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Aanbieder kan winst maken (of verlies lijden), afhankelijk van GO versus GTK</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Lange termijn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Winst = 0 door vrije toetreding; GO-lijn raakt GTK-lijn (tangentie-evenwicht)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Overcapaciteit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Productie links van het GTK-minimum: elke aanbieder produceert minder dan de efficiënte schaal</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Toetreding →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Marktvraag stijgt (meer variatie), residuele vraag daalt (meer concurrentie)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Verschil met volkomen conc.</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Hogere prijs, lagere productie, maar meer productdifferentiatie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3.2.5 Monopolistische concurrentie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2026-03-23T09:10:56.657Z</dcterms:created>
  <dcterms:modified xsi:type="dcterms:W3CDTF">2026-03-23T09:10:56.657Z</dcterms:modified>
</cp:coreProperties>
</file>

<file path=docProps/custom.xml><?xml version="1.0" encoding="utf-8"?>
<Properties xmlns="http://schemas.openxmlformats.org/officeDocument/2006/custom-properties" xmlns:vt="http://schemas.openxmlformats.org/officeDocument/2006/docPropsVTypes"/>
</file>