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‘Bestemmingsplannen en gedifferentieerde toetreding’.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in steden waar supermarkten zich op een beperkt aantal plaatsen mogen vestigen er sprake is van monopolistische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te verwachten invloed van bestemmingsplannen met maar een beperkt aantal vestigingsgebieden op het winkelaanbod?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blijkt dat er in 2009 in Limburg 573 eetcafés waren.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 markt van horecagelegenheden in Limburg? Verklaar je antwoord door drie kenmerken van de marktstructuur te bespreken.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zouden er steeds meer horecagelegenheden in Limburg zijn waar gegeten kan worden?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vraag naar ‘eten in horecazaken’ in Limburg toegenomen?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marktaandeel van eetcafés in 2019.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Korte termijn: Productdifferentiatie maakt elk merk uniek, waardoor de individuele vraaglijn minder prijsgevoelig wordt (elasticiteit daalt). Dit stelt aanbieders in staat hogere prijzen te vragen en meer winst te maken.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Lange termijn: De toegenomen winst trekt toetreding aan, net als in het basismodel. Echter, door productdifferentiatie kunnen aanbieders zich beter onderscheiden, waardoor zij meer marktmacht behouden en hogere winsten langer volhouden.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>Consumentensurplus: Dit daalt omdat consumenten hogere prijzen betalen vanwege de productdifferentiatie. Echter, consumenten winnen ook omdat zij meer keuze hebben (heterogeen product).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De netto-effecten hangen af van hoe sterk consumenten waarde hechten aan variatie versus prijs.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2026-03-23T21:15:04.110Z</dcterms:created>
  <dcterms:modified xsi:type="dcterms:W3CDTF">2026-03-23T21:15:04.110Z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