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Marktvormen en hun economische doelmatigheid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6.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lettercombinatie geeft het consumentensurplus weer bij volkomen concurrentie?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lettercombinatie geeft het consumentensurplus weer als er sprake is van een monopolie?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Arceer in bron 7 met drie verschillende kleuren het consumentensurplus, het producentensurplus en de Harbergerdriehoek als de monopolist streeft naar maximale winst.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‘Het efficiëntieverlies van een elektriciteitsduopolie’.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de invloed van de hogere prijs op het totale surplus?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het elektriciteitsduopolie in Groot-Brittannië efficiënt?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vindt er geen toetreding plaats terwijl de prijs 25% hoger is dan de GTK?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er in bron 3 sprake van concurrentie zoals economen dat bedoelen?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‘Een Pareto-verbetering in de klas’.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is het niet duidelijk of er sprake is van een Pareto-efficiënte klasindeling nadat Esther en Mieke van plaats zijn gewisseld?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Wanneer is er sprake van een Pareto-efficiënte klasindeling?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Marktvormen en hun economische doelmatigheid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2026-03-23T21:15:04.127Z</dcterms:created>
  <dcterms:modified xsi:type="dcterms:W3CDTF">2026-03-23T21:15:04.127Z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