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Marktvormen en hun economische doelmatigheid</w:t>
      </w:r>
    </w:p>
    <w:p>
      <w:pPr>
        <w:spacing w:after="40"/>
        <w:jc w:val="center"/>
      </w:pPr>
      <w:r>
        <w:rPr>
          <w:rFonts w:ascii="Arial" w:cs="Arial" w:eastAsia="Arial" w:hAnsi="Arial"/>
          <w:color w:val="718096"/>
          <w:sz w:val="26"/>
          <w:szCs w:val="26"/>
        </w:rPr>
        <w:t xml:space="preserve">Middenopgaven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bron 6.</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lettercombinatie geeft het consumentensurplus weer bij volkomen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volkomen concurrentie geldt p = GO = MK en dat is in punt B. Het bijbehorende consumentensurplus is de oppervlakte van driehoek D-B-G.</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lettercombinatie geeft het consumentensurplus weer als er sprake is van een monopolie?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een monopolie geldt MO = MK en dat is in punt A. Het bijbehorende consumentensurplus is de oppervlakte van driehoek E-C-G.</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Arceer in bron 7 met drie verschillende kleuren het consumentensurplus, het producentensurplus en de Harbergerdriehoek als de monopolist streeft naar maximale winst.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‘Het efficiëntieverlies van een elektriciteitsduopolie’.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de invloed van de hogere prijs op het totale surplus?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Vergeleken met een situatie van volkomen concurrentie waarbij de prijs gelijk is aan de GTK is het totale surplus gedaald.</w:t>
            </w:r>
          </w:p>
          <w:p>
            <w:pPr>
              <w:spacing w:after="80"/>
            </w:pPr>
            <w:r>
              <w:rPr>
                <w:rFonts w:ascii="Arial" w:cs="Arial" w:eastAsia="Arial" w:hAnsi="Arial"/>
                <w:color w:val="2D3748"/>
                <w:sz w:val="22"/>
                <w:szCs w:val="22"/>
              </w:rPr>
              <w:t xml:space="preserve">Door de hogere prijs is het PS gestegen en het CS gedaald, waarbij de stijging van het PS kleiner is dan de daling van het CS.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het elektriciteitsduopolie in Groot-Brittannië efficiënt?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want het totale surplus is kleiner dan dat bij volkomen concurrentie. De markt is dus niet efficiënt.</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vindt er geen toetreding plaats terwijl de prijs 25% hoger is dan de GTK?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toetredingsdrempels zijn hoog. Het is kostbaar om de elektriciteitsmarkt te betreden.</w:t>
            </w:r>
          </w:p>
          <w:p>
            <w:pPr>
              <w:spacing w:after="80"/>
            </w:pPr>
            <w:r>
              <w:rPr>
                <w:rFonts w:ascii="Arial" w:cs="Arial" w:eastAsia="Arial" w:hAnsi="Arial"/>
                <w:color w:val="2D3748"/>
                <w:sz w:val="22"/>
                <w:szCs w:val="22"/>
              </w:rPr>
              <w:t xml:space="preserve">Bij een prijs die niet heel veel hoger ligt dan de kostprijs kunnen deze toetredingskosten niet terugverdiend worden.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Is er in bron 3 sprake van concurrentie zoals economen dat bedoelen?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w:t>
            </w:r>
          </w:p>
          <w:p>
            <w:pPr>
              <w:spacing w:after="80"/>
            </w:pPr>
            <w:r>
              <w:rPr>
                <w:rFonts w:ascii="Arial" w:cs="Arial" w:eastAsia="Arial" w:hAnsi="Arial"/>
                <w:color w:val="2D3748"/>
                <w:sz w:val="22"/>
                <w:szCs w:val="22"/>
              </w:rPr>
              <w:t xml:space="preserve">Met een 'competitive price increase' wordt de grootste prijsverhoging bedoeld, terwijl economen juist denken dat door concurrentie prijsstijgingen worden beteugeld (of: de prijs daalt door concurrentie).</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‘Een Pareto-verbetering in de klas’.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is het niet duidelijk of er sprake is van een Pareto-efficiënte klasindeling nadat Esther en Mieke van plaats zijn gewisseld?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Misschien zijn er nog andere leerlingen die van plaats willen wisselen, waarbij er geen enkele leerling op achteruitgaat en er ten minste één leerling op vooruitgaat.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Wanneer is er sprake van een Pareto-efficiënte klasindeling?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Als het niet meer mogelijk is dat twee leerlingen onderling van plaats wisselen waarbij ten minste een van de twee erop vooruitgaat, terwijl de ander er niet op achteruitgaat, of wanneer de ander er wel op achteruitgaat,</w:t>
            </w:r>
          </w:p>
          <w:p>
            <w:pPr>
              <w:spacing w:after="80"/>
            </w:pPr>
            <w:r>
              <w:rPr>
                <w:rFonts w:ascii="Arial" w:cs="Arial" w:eastAsia="Arial" w:hAnsi="Arial"/>
                <w:color w:val="2D3748"/>
                <w:sz w:val="22"/>
                <w:szCs w:val="22"/>
              </w:rPr>
              <w:t xml:space="preserve">maar daarvoor gecompenseerd kan worden door diegene die erop vooruitgaat en die laatste er toch nog wat aan over houdt.</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Marktvormen en hun economische doelmatigheid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2026-03-23T21:15:04.155Z</dcterms:created>
  <dcterms:modified xsi:type="dcterms:W3CDTF">2026-03-23T21:15:04.155Z</dcterms:modified>
</cp:coreProperties>
</file>

<file path=docProps/custom.xml><?xml version="1.0" encoding="utf-8"?>
<Properties xmlns="http://schemas.openxmlformats.org/officeDocument/2006/custom-properties" xmlns:vt="http://schemas.openxmlformats.org/officeDocument/2006/docPropsVTypes"/>
</file>