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De rol van de overheid — Voorkennis</w:t>
      </w:r>
    </w:p>
    <w:p>
      <w:pPr>
        <w:spacing w:after="40"/>
        <w:jc w:val="center"/>
      </w:pPr>
      <w:r>
        <w:rPr>
          <w:rFonts w:ascii="Arial" w:cs="Arial" w:eastAsia="Arial" w:hAnsi="Arial"/>
          <w:color w:val="718096"/>
          <w:sz w:val="26"/>
          <w:szCs w:val="26"/>
        </w:rPr>
        <w:t xml:space="preserve">Wat moet je al weten voordat je aan deze paragraaf begint?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Wiskundig</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Economisch</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Grafisch</w:t>
            </w:r>
          </w:p>
        </w:tc>
      </w:tr>
    </w:tbl>
    <w:p>
      <w:pPr>
        <w:spacing w:after="120"/>
      </w:pPr>
    </w:p>
    <w:p>
      <w:pPr>
        <w:pStyle w:val="Heading1"/>
        <w:spacing w:after="200" w:before="0"/>
      </w:pPr>
      <w:r>
        <w:rPr>
          <w:rFonts w:ascii="Arial" w:cs="Arial" w:eastAsia="Arial" w:hAnsi="Arial"/>
          <w:b/>
          <w:bCs/>
          <w:color w:val="1E2761"/>
          <w:sz w:val="36"/>
          <w:szCs w:val="36"/>
        </w:rPr>
        <w:t xml:space="preserve">Inhoudsopgave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726"/>
        <w:gridCol w:w="1600"/>
      </w:tblGrid>
      <w:tr>
        <w:tc>
          <w:tcPr>
            <w:tcW w:type="dxa" w:w="5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Nr.</w:t>
            </w:r>
          </w:p>
        </w:tc>
        <w:tc>
          <w:tcPr>
            <w:tcW w:type="dxa" w:w="32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Onderwerp</w:t>
            </w:r>
          </w:p>
        </w:tc>
        <w:tc>
          <w:tcPr>
            <w:tcW w:type="dxa" w:w="3726"/>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Omschrijving</w:t>
            </w:r>
          </w:p>
        </w:tc>
        <w:tc>
          <w:tcPr>
            <w:tcW w:type="dxa" w:w="16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Domein</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1</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Percentages en marktaandeel</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Percentage berekenen en vergelijken</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Wiskundig</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2</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Basisbegrippen: markt en prijs</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Vraag, aanbod, evenwicht, monopolie</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Economisch</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3</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Kosten en kostensoorten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TK, GTK, MK en hun relatie</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Economisch</w:t>
            </w:r>
          </w:p>
        </w:tc>
      </w:tr>
      <w:tr>
        <w:tc>
          <w:tcPr>
            <w:tcW w:type="dxa" w:w="5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22"/>
                <w:szCs w:val="22"/>
              </w:rPr>
              <w:t xml:space="preserve">4</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Grafieken lezen: dalende curve</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GTK-curve aflezen en interpreteren</w:t>
            </w:r>
          </w:p>
        </w:tc>
        <w:tc>
          <w:tcPr>
            <w:tcW w:type="dxa" w:w="16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18"/>
                <w:szCs w:val="18"/>
              </w:rPr>
              <w:t xml:space="preserve">Grafisch</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Percentages en marktaandeel</w:t>
            </w:r>
          </w:p>
          <w:p>
            <w:pPr>
              <w:spacing w:before="40"/>
            </w:pPr>
            <w:r>
              <w:rPr>
                <w:rFonts w:ascii="Arial" w:cs="Arial" w:eastAsia="Arial" w:hAnsi="Arial"/>
                <w:i/>
                <w:iCs/>
                <w:color w:val="1A5276"/>
                <w:sz w:val="18"/>
                <w:szCs w:val="18"/>
              </w:rPr>
              <w:t xml:space="preserve">Wiskundig</w:t>
            </w:r>
          </w:p>
        </w:tc>
      </w:tr>
    </w:tbl>
    <w:p>
      <w:pPr>
        <w:spacing w:after="120"/>
      </w:pPr>
    </w:p>
    <w:p>
      <w:pPr>
        <w:pStyle w:val="Heading2"/>
        <w:spacing w:after="120" w:before="200"/>
      </w:pPr>
      <w:r>
        <w:rPr>
          <w:rFonts w:ascii="Arial" w:cs="Arial" w:eastAsia="Arial" w:hAnsi="Arial"/>
          <w:b/>
          <w:bCs/>
          <w:color w:val="1A5276"/>
          <w:sz w:val="24"/>
          <w:szCs w:val="24"/>
        </w:rPr>
        <w:t xml:space="preserve">Wat moet je weten?</w:t>
      </w:r>
    </w:p>
    <w:p>
      <w:pPr>
        <w:spacing w:after="120"/>
      </w:pPr>
      <w:r>
        <w:rPr>
          <w:rFonts w:ascii="Arial" w:cs="Arial" w:eastAsia="Arial" w:hAnsi="Arial"/>
          <w:color w:val="2D3748"/>
          <w:sz w:val="22"/>
          <w:szCs w:val="22"/>
        </w:rPr>
        <w:t xml:space="preserve">Bij de opgaven over machtspositie moet je kunnen rekenen met percentages. Marktaandeel is het deel van de totale markt dat één bedrijf in handen heeft, uitgedrukt als percentage. Als het marktaandeel 35% of hoger is, spreken we van een economische machtspositie.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Marktaandeel = (omzet bedrijf / totale marktomzet) × 100%</w:t>
            </w:r>
          </w:p>
        </w:tc>
      </w:tr>
    </w:tbl>
    <w:p>
      <w:pPr>
        <w:spacing w:after="60"/>
      </w:pPr>
    </w:p>
    <w:p>
      <w:pPr>
        <w:pStyle w:val="Heading2"/>
        <w:spacing w:after="120" w:before="200"/>
      </w:pPr>
      <w:r>
        <w:rPr>
          <w:rFonts w:ascii="Arial" w:cs="Arial" w:eastAsia="Arial" w:hAnsi="Arial"/>
          <w:b/>
          <w:bCs/>
          <w:color w:val="1A5276"/>
          <w:sz w:val="24"/>
          <w:szCs w:val="24"/>
        </w:rPr>
        <w:t xml:space="preserve">Voorbeeld</w:t>
      </w:r>
    </w:p>
    <w:p>
      <w:pPr>
        <w:spacing w:after="120"/>
      </w:pPr>
      <w:r>
        <w:rPr>
          <w:rFonts w:ascii="Arial" w:cs="Arial" w:eastAsia="Arial" w:hAnsi="Arial"/>
          <w:color w:val="2D3748"/>
          <w:sz w:val="22"/>
          <w:szCs w:val="22"/>
        </w:rPr>
        <w:t xml:space="preserve">De totale markt voor zoekmachines in Europa is €10 miljard per jaar. Google heeft een omzet van €9,2 miljard.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Marktaandeel Google = (9,2 / 10) × 100% = 92%</w:t>
            </w:r>
          </w:p>
          <w:p>
            <w:pPr>
              <w:spacing w:after="60"/>
            </w:pPr>
            <w:r>
              <w:rPr>
                <w:rFonts w:ascii="Consolas" w:cs="Consolas" w:eastAsia="Consolas" w:hAnsi="Consolas"/>
                <w:color w:val="2D3748"/>
                <w:sz w:val="22"/>
                <w:szCs w:val="22"/>
              </w:rPr>
              <w:t xml:space="preserve">92% ≥ 35% → economische machtspositie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Bereken het marktaandeel als een bedrijf €350 miljoen omzet heeft op een markt van €1 miljard. Is er een machtspositie?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Formule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Marktaandeel = (omzet bedrijf / totale omzet) × 100%</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Drempel</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35% = economische machtspositie</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Toepassing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Beoordelen of een bedrijf te veel macht heeft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Basisbegrippen: markt en prijs</w:t>
            </w:r>
          </w:p>
          <w:p>
            <w:pPr>
              <w:spacing w:before="40"/>
            </w:pPr>
            <w:r>
              <w:rPr>
                <w:rFonts w:ascii="Arial" w:cs="Arial" w:eastAsia="Arial" w:hAnsi="Arial"/>
                <w:i/>
                <w:iCs/>
                <w:color w:val="E67E22"/>
                <w:sz w:val="18"/>
                <w:szCs w:val="18"/>
              </w:rPr>
              <w:t xml:space="preserve">Economisch</w:t>
            </w:r>
          </w:p>
        </w:tc>
      </w:tr>
    </w:tbl>
    <w:p>
      <w:pPr>
        <w:spacing w:after="120"/>
      </w:pPr>
    </w:p>
    <w:p>
      <w:pPr>
        <w:pStyle w:val="Heading2"/>
        <w:spacing w:after="120" w:before="200"/>
      </w:pPr>
      <w:r>
        <w:rPr>
          <w:rFonts w:ascii="Arial" w:cs="Arial" w:eastAsia="Arial" w:hAnsi="Arial"/>
          <w:b/>
          <w:bCs/>
          <w:color w:val="E67E22"/>
          <w:sz w:val="24"/>
          <w:szCs w:val="24"/>
        </w:rPr>
        <w:t xml:space="preserve">Wat moet je weten?</w:t>
      </w:r>
    </w:p>
    <w:p>
      <w:pPr>
        <w:spacing w:after="120"/>
      </w:pPr>
      <w:r>
        <w:rPr>
          <w:rFonts w:ascii="Arial" w:cs="Arial" w:eastAsia="Arial" w:hAnsi="Arial"/>
          <w:color w:val="2D3748"/>
          <w:sz w:val="22"/>
          <w:szCs w:val="22"/>
        </w:rPr>
        <w:t xml:space="preserve">Een markt is elke situatie waarin vraag en aanbod samenkomen. Bij volkomen concurrentie zijn er veel aanbieders en neemt niemand een grote positie in. Bij een monopolie is er maar één aanbieder. De overheid grijpt in als de marktvorm leidt tot problemen (te hoge prijs, te weinig keus). Je moet weten wat vraag, aanbod en evenwichtsprijs betekenen.</w:t>
      </w:r>
    </w:p>
    <w:p>
      <w:pPr>
        <w:spacing w:after="60"/>
      </w:pPr>
    </w:p>
    <w:p>
      <w:pPr>
        <w:pStyle w:val="Heading2"/>
        <w:spacing w:after="120" w:before="200"/>
      </w:pPr>
      <w:r>
        <w:rPr>
          <w:rFonts w:ascii="Arial" w:cs="Arial" w:eastAsia="Arial" w:hAnsi="Arial"/>
          <w:b/>
          <w:bCs/>
          <w:color w:val="E67E22"/>
          <w:sz w:val="24"/>
          <w:szCs w:val="24"/>
        </w:rPr>
        <w:t xml:space="preserve">Voorbeeld</w:t>
      </w:r>
    </w:p>
    <w:p>
      <w:pPr>
        <w:spacing w:after="120"/>
      </w:pPr>
      <w:r>
        <w:rPr>
          <w:rFonts w:ascii="Arial" w:cs="Arial" w:eastAsia="Arial" w:hAnsi="Arial"/>
          <w:color w:val="2D3748"/>
          <w:sz w:val="22"/>
          <w:szCs w:val="22"/>
        </w:rPr>
        <w:t xml:space="preserve">Op de markt voor smartphones zijn er veel aanbieders (Samsung, Apple, Xiaomi, etc.). Consumenten kiezen op basis van prijs en kwaliteit → volkomen concurrentie.</w:t>
      </w:r>
    </w:p>
    <w:p>
      <w:pPr>
        <w:spacing w:after="120"/>
      </w:pPr>
      <w:r>
        <w:rPr>
          <w:rFonts w:ascii="Arial" w:cs="Arial" w:eastAsia="Arial" w:hAnsi="Arial"/>
          <w:color w:val="2D3748"/>
          <w:sz w:val="22"/>
          <w:szCs w:val="22"/>
        </w:rPr>
        <w:t xml:space="preserve">Verschil: bij de spoorwegen is er maar één aanbieder (NS) → monopolie.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Noem een voorbeeld van een markt met veel concurrentie en een markt met weinig concurrentie.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Kernbegrip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Markt = vraag + aanbod</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Concurrentie</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Veel aanbieders → lagere prijs</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Monopolie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Eén aanbieder → hogere prijs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Toepassing</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Beoordelen of een markt goed werkt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Kosten en kostensoorten</w:t>
            </w:r>
          </w:p>
          <w:p>
            <w:pPr>
              <w:spacing w:before="40"/>
            </w:pPr>
            <w:r>
              <w:rPr>
                <w:rFonts w:ascii="Arial" w:cs="Arial" w:eastAsia="Arial" w:hAnsi="Arial"/>
                <w:i/>
                <w:iCs/>
                <w:color w:val="E67E22"/>
                <w:sz w:val="18"/>
                <w:szCs w:val="18"/>
              </w:rPr>
              <w:t xml:space="preserve">Economisch</w:t>
            </w:r>
          </w:p>
        </w:tc>
      </w:tr>
    </w:tbl>
    <w:p>
      <w:pPr>
        <w:spacing w:after="120"/>
      </w:pPr>
    </w:p>
    <w:p>
      <w:pPr>
        <w:pStyle w:val="Heading2"/>
        <w:spacing w:after="120" w:before="200"/>
      </w:pPr>
      <w:r>
        <w:rPr>
          <w:rFonts w:ascii="Arial" w:cs="Arial" w:eastAsia="Arial" w:hAnsi="Arial"/>
          <w:b/>
          <w:bCs/>
          <w:color w:val="E67E22"/>
          <w:sz w:val="24"/>
          <w:szCs w:val="24"/>
        </w:rPr>
        <w:t xml:space="preserve">Wat moet je weten?</w:t>
      </w:r>
    </w:p>
    <w:p>
      <w:pPr>
        <w:spacing w:after="120"/>
      </w:pPr>
      <w:r>
        <w:rPr>
          <w:rFonts w:ascii="Arial" w:cs="Arial" w:eastAsia="Arial" w:hAnsi="Arial"/>
          <w:color w:val="2D3748"/>
          <w:sz w:val="22"/>
          <w:szCs w:val="22"/>
        </w:rPr>
        <w:t xml:space="preserve">Bedrijven maken kosten. De totale kosten (TK) bestaan uit vaste kosten (onafhankelijk van productie) en variabele kosten (stijgen met productie). De gemiddelde totale kosten (GTK) bereken je door TK te delen door de hoeveelheid. Bij netwerksectoren zijn de vaste kosten hoog en de variabele kosten laag, waardoor de GTK dalen bij grotere productie.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GTK = TK / Q = (vaste kosten + variabele kosten) / Q</w:t>
            </w:r>
          </w:p>
        </w:tc>
      </w:tr>
    </w:tbl>
    <w:p>
      <w:pPr>
        <w:spacing w:after="60"/>
      </w:pPr>
    </w:p>
    <w:p>
      <w:pPr>
        <w:pStyle w:val="Heading2"/>
        <w:spacing w:after="120" w:before="200"/>
      </w:pPr>
      <w:r>
        <w:rPr>
          <w:rFonts w:ascii="Arial" w:cs="Arial" w:eastAsia="Arial" w:hAnsi="Arial"/>
          <w:b/>
          <w:bCs/>
          <w:color w:val="E67E22"/>
          <w:sz w:val="24"/>
          <w:szCs w:val="24"/>
        </w:rPr>
        <w:t xml:space="preserve">Voorbeeld</w:t>
      </w:r>
    </w:p>
    <w:p>
      <w:pPr>
        <w:spacing w:after="120"/>
      </w:pPr>
      <w:r>
        <w:rPr>
          <w:rFonts w:ascii="Arial" w:cs="Arial" w:eastAsia="Arial" w:hAnsi="Arial"/>
          <w:color w:val="2D3748"/>
          <w:sz w:val="22"/>
          <w:szCs w:val="22"/>
        </w:rPr>
        <w:t xml:space="preserve">Een postbedrijf heeft vaste kosten van €2 miljoen (sorteercentra, auto’s). Variabele kosten: €0,10 per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Bij 1 miljoen brieven: TK = 2.000.000 + 100.000 = €2.100.000</w:t>
            </w:r>
          </w:p>
          <w:p>
            <w:pPr>
              <w:spacing w:after="60"/>
            </w:pPr>
            <w:r>
              <w:rPr>
                <w:rFonts w:ascii="Consolas" w:cs="Consolas" w:eastAsia="Consolas" w:hAnsi="Consolas"/>
                <w:color w:val="2D3748"/>
                <w:sz w:val="22"/>
                <w:szCs w:val="22"/>
              </w:rPr>
              <w:t xml:space="preserve">GTK = 2.100.000 / 1.000.000 = €2,10 per brief</w:t>
            </w:r>
          </w:p>
          <w:p>
            <w:pPr>
              <w:spacing w:after="60"/>
            </w:pPr>
            <w:r>
              <w:rPr>
                <w:rFonts w:ascii="Consolas" w:cs="Consolas" w:eastAsia="Consolas" w:hAnsi="Consolas"/>
                <w:color w:val="2D3748"/>
                <w:sz w:val="22"/>
                <w:szCs w:val="22"/>
              </w:rPr>
              <w:t xml:space="preserve"/>
            </w:r>
          </w:p>
          <w:p>
            <w:pPr>
              <w:spacing w:after="60"/>
            </w:pPr>
            <w:r>
              <w:rPr>
                <w:rFonts w:ascii="Consolas" w:cs="Consolas" w:eastAsia="Consolas" w:hAnsi="Consolas"/>
                <w:color w:val="2D3748"/>
                <w:sz w:val="22"/>
                <w:szCs w:val="22"/>
              </w:rPr>
              <w:t xml:space="preserve">Bij 10 miljoen brieven: TK = 2.000.000 + 1.000.000 = €3.000.000</w:t>
            </w:r>
          </w:p>
          <w:p>
            <w:pPr>
              <w:spacing w:after="60"/>
            </w:pPr>
            <w:r>
              <w:rPr>
                <w:rFonts w:ascii="Consolas" w:cs="Consolas" w:eastAsia="Consolas" w:hAnsi="Consolas"/>
                <w:color w:val="2D3748"/>
                <w:sz w:val="22"/>
                <w:szCs w:val="22"/>
              </w:rPr>
              <w:t xml:space="preserve">GTK = 3.000.000 / 10.000.000 = €0,30 per brief</w:t>
            </w:r>
          </w:p>
        </w:tc>
      </w:tr>
    </w:tbl>
    <w:p>
      <w:pPr>
        <w:spacing w:after="120"/>
      </w:pPr>
      <w:r>
        <w:rPr>
          <w:rFonts w:ascii="Arial" w:cs="Arial" w:eastAsia="Arial" w:hAnsi="Arial"/>
          <w:color w:val="2D3748"/>
          <w:sz w:val="22"/>
          <w:szCs w:val="22"/>
        </w:rPr>
        <w:t xml:space="preserve">Conclusie: GTK daalt fors bij meer productie. Dit is kenmerkend voor een natuurlijk monopolie.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Bereken de GTK als de vaste kosten €500.000 zijn, de variabele kosten €2 per stuk en de productie 100.000 stuks is.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GTK</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GTK = TK / Q = (vaste kosten + variabele kosten) / Q</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Kenmerk</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Dalende GTK bij hoge vaste kosten en lage variabele kosten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Toepassing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Herkennen van een natuurlijk monopolie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E8449" w:sz="1"/>
              <w:left w:val="single" w:color="1E8449" w:sz="1"/>
              <w:bottom w:val="single" w:color="1E8449" w:sz="1"/>
              <w:right w:val="none" w:color="1E8449" w:sz="0"/>
            </w:tcBorders>
            <w:shd w:fill="1E8449"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1E8449" w:sz="1"/>
              <w:left w:val="none" w:color="1E8449" w:sz="0"/>
              <w:bottom w:val="single" w:color="1E8449" w:sz="1"/>
              <w:right w:val="single" w:color="1E8449" w:sz="1"/>
            </w:tcBorders>
            <w:shd w:fill="E8F8F0" w:val="clear"/>
            <w:tcMar>
              <w:top w:type="dxa" w:w="140"/>
              <w:left w:type="dxa" w:w="200"/>
              <w:bottom w:type="dxa" w:w="140"/>
              <w:right w:type="dxa" w:w="200"/>
            </w:tcMar>
            <w:vAlign w:val="center"/>
          </w:tcPr>
          <w:p>
            <w:r>
              <w:rPr>
                <w:rFonts w:ascii="Arial" w:cs="Arial" w:eastAsia="Arial" w:hAnsi="Arial"/>
                <w:b/>
                <w:bCs/>
                <w:color w:val="186A3B"/>
                <w:sz w:val="28"/>
                <w:szCs w:val="28"/>
              </w:rPr>
              <w:t xml:space="preserve">Grafieken lezen: dalende GTK-curve</w:t>
            </w:r>
          </w:p>
          <w:p>
            <w:pPr>
              <w:spacing w:before="40"/>
            </w:pPr>
            <w:r>
              <w:rPr>
                <w:rFonts w:ascii="Arial" w:cs="Arial" w:eastAsia="Arial" w:hAnsi="Arial"/>
                <w:i/>
                <w:iCs/>
                <w:color w:val="1E8449"/>
                <w:sz w:val="18"/>
                <w:szCs w:val="18"/>
              </w:rPr>
              <w:t xml:space="preserve">Grafisch</w:t>
            </w:r>
          </w:p>
        </w:tc>
      </w:tr>
    </w:tbl>
    <w:p>
      <w:pPr>
        <w:spacing w:after="120"/>
      </w:pPr>
    </w:p>
    <w:p>
      <w:pPr>
        <w:pStyle w:val="Heading2"/>
        <w:spacing w:after="120" w:before="200"/>
      </w:pPr>
      <w:r>
        <w:rPr>
          <w:rFonts w:ascii="Arial" w:cs="Arial" w:eastAsia="Arial" w:hAnsi="Arial"/>
          <w:b/>
          <w:bCs/>
          <w:color w:val="1E8449"/>
          <w:sz w:val="24"/>
          <w:szCs w:val="24"/>
        </w:rPr>
        <w:t xml:space="preserve">Wat moet je weten?</w:t>
      </w:r>
    </w:p>
    <w:p>
      <w:pPr>
        <w:spacing w:after="120"/>
      </w:pPr>
      <w:r>
        <w:rPr>
          <w:rFonts w:ascii="Arial" w:cs="Arial" w:eastAsia="Arial" w:hAnsi="Arial"/>
          <w:color w:val="2D3748"/>
          <w:sz w:val="22"/>
          <w:szCs w:val="22"/>
        </w:rPr>
        <w:t xml:space="preserve">In de grafiek van een natuurlijk monopolie staat de hoeveelheid (Q) op de horizontale as en de kosten per eenheid (€) op de verticale as. De GTK-curve daalt: bij een kleine productie zijn de kosten per stuk hoog (de vaste kosten worden over weinig eenheden verdeeld), bij een grote productie zijn ze laag. Je moet op de grafiek kunnen aflezen hoeveel de GTK is bij een bepaalde Q.</w:t>
      </w:r>
    </w:p>
    <w:p>
      <w:pPr>
        <w:spacing w:after="60"/>
      </w:pPr>
    </w:p>
    <w:p>
      <w:pPr>
        <w:pStyle w:val="Heading2"/>
        <w:spacing w:after="120" w:before="200"/>
      </w:pPr>
      <w:r>
        <w:rPr>
          <w:rFonts w:ascii="Arial" w:cs="Arial" w:eastAsia="Arial" w:hAnsi="Arial"/>
          <w:b/>
          <w:bCs/>
          <w:color w:val="1E8449"/>
          <w:sz w:val="24"/>
          <w:szCs w:val="24"/>
        </w:rPr>
        <w:t xml:space="preserve">Voorbeeld</w:t>
      </w:r>
    </w:p>
    <w:p>
      <w:pPr>
        <w:spacing w:after="120"/>
      </w:pPr>
      <w:r>
        <w:rPr>
          <w:rFonts w:ascii="Arial" w:cs="Arial" w:eastAsia="Arial" w:hAnsi="Arial"/>
          <w:color w:val="2D3748"/>
          <w:sz w:val="22"/>
          <w:szCs w:val="22"/>
        </w:rPr>
        <w:t xml:space="preserve">In de grafiek uit de presentatie (dia 4) zie je:</w:t>
      </w:r>
    </w:p>
    <w:p>
      <w:pPr>
        <w:pStyle w:val="ListParagraph"/>
        <w:numPr>
          <w:ilvl w:val="0"/>
          <w:numId w:val="1"/>
        </w:numPr>
        <w:spacing w:after="80"/>
      </w:pPr>
      <w:r>
        <w:rPr>
          <w:rFonts w:ascii="Arial" w:cs="Arial" w:eastAsia="Arial" w:hAnsi="Arial"/>
          <w:color w:val="2D3748"/>
          <w:sz w:val="22"/>
          <w:szCs w:val="22"/>
        </w:rPr>
        <w:t xml:space="preserve">Bij Q = 20: GTK = €15 (twee aanbieders met elk 20 stuks)</w:t>
      </w:r>
    </w:p>
    <w:p>
      <w:pPr>
        <w:pStyle w:val="ListParagraph"/>
        <w:numPr>
          <w:ilvl w:val="0"/>
          <w:numId w:val="1"/>
        </w:numPr>
        <w:spacing w:after="80"/>
      </w:pPr>
      <w:r>
        <w:rPr>
          <w:rFonts w:ascii="Arial" w:cs="Arial" w:eastAsia="Arial" w:hAnsi="Arial"/>
          <w:color w:val="2D3748"/>
          <w:sz w:val="22"/>
          <w:szCs w:val="22"/>
        </w:rPr>
        <w:t xml:space="preserve">Bij Q = 40: GTK = €10 (één aanbieder met 40 stuks)</w:t>
      </w:r>
    </w:p>
    <w:p>
      <w:pPr>
        <w:spacing w:after="120"/>
      </w:pPr>
      <w:r>
        <w:rPr>
          <w:rFonts w:ascii="Arial" w:cs="Arial" w:eastAsia="Arial" w:hAnsi="Arial"/>
          <w:color w:val="2D3748"/>
          <w:sz w:val="22"/>
          <w:szCs w:val="22"/>
        </w:rPr>
        <w:t xml:space="preserve">Aflezen: trek een verticale lijn omhoog vanuit Q op de x-as, lees op de y-as af waar je de GTK-curve raakt.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Let op de assen: Q (hoeveelheid) altijd horizontaal, kosten per eenheid (€) altijd verticaal.</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op de GTK-grafiek aflezen bij welke Q de GTK €12 is?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X-as</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Productie (Q)</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Y-as</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Kosten per eenheid (€)</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Aflezen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Verticale lijn vanuit Q → snijpunt met GTK → horizontaal naar y-as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Toepassing</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Vergelijken van GTK bij 1 vs. 2 aanbieders</w:t>
            </w:r>
          </w:p>
        </w:tc>
      </w:tr>
    </w:tbl>
    <w:p>
      <w:r>
        <w:br w:type="page"/>
      </w:r>
    </w:p>
    <w:p>
      <w:pPr>
        <w:pStyle w:val="Heading1"/>
        <w:spacing w:after="200" w:before="0"/>
      </w:pPr>
      <w:r>
        <w:rPr>
          <w:rFonts w:ascii="Arial" w:cs="Arial" w:eastAsia="Arial" w:hAnsi="Arial"/>
          <w:b/>
          <w:bCs/>
          <w:color w:val="1E2761"/>
          <w:sz w:val="36"/>
          <w:szCs w:val="36"/>
        </w:rPr>
        <w:t xml:space="preserve">Checklist voorkennis</w:t>
      </w:r>
    </w:p>
    <w:p>
      <w:pPr>
        <w:spacing w:after="120"/>
      </w:pPr>
      <w:r>
        <w:rPr>
          <w:rFonts w:ascii="Arial" w:cs="Arial" w:eastAsia="Arial" w:hAnsi="Arial"/>
          <w:color w:val="2D3748"/>
          <w:sz w:val="22"/>
          <w:szCs w:val="22"/>
        </w:rPr>
        <w:t xml:space="preserve">Controleer of je de volgende zaken beheerst voordat je aan de paragraaf begint:</w:t>
      </w:r>
    </w:p>
    <w:p>
      <w:pPr>
        <w:spacing w:after="100"/>
      </w:pPr>
    </w:p>
    <w:p>
      <w:pPr>
        <w:pStyle w:val="ListParagraph"/>
        <w:numPr>
          <w:ilvl w:val="0"/>
          <w:numId w:val="2"/>
        </w:numPr>
        <w:spacing w:after="80"/>
      </w:pPr>
      <w:r>
        <w:rPr>
          <w:rFonts w:ascii="Arial" w:cs="Arial" w:eastAsia="Arial" w:hAnsi="Arial"/>
          <w:sz w:val="22"/>
          <w:szCs w:val="22"/>
        </w:rPr>
        <w:t xml:space="preserve">Ik kan een marktaandeel berekenen als percentage</w:t>
      </w:r>
    </w:p>
    <w:p>
      <w:pPr>
        <w:pStyle w:val="ListParagraph"/>
        <w:numPr>
          <w:ilvl w:val="0"/>
          <w:numId w:val="2"/>
        </w:numPr>
        <w:spacing w:after="80"/>
      </w:pPr>
      <w:r>
        <w:rPr>
          <w:rFonts w:ascii="Arial" w:cs="Arial" w:eastAsia="Arial" w:hAnsi="Arial"/>
          <w:sz w:val="22"/>
          <w:szCs w:val="22"/>
        </w:rPr>
        <w:t xml:space="preserve">Ik weet wat het verschil is tussen concurrentie en monopolie</w:t>
      </w:r>
    </w:p>
    <w:p>
      <w:pPr>
        <w:pStyle w:val="ListParagraph"/>
        <w:numPr>
          <w:ilvl w:val="0"/>
          <w:numId w:val="2"/>
        </w:numPr>
        <w:spacing w:after="80"/>
      </w:pPr>
      <w:r>
        <w:rPr>
          <w:rFonts w:ascii="Arial" w:cs="Arial" w:eastAsia="Arial" w:hAnsi="Arial"/>
          <w:sz w:val="22"/>
          <w:szCs w:val="22"/>
        </w:rPr>
        <w:t xml:space="preserve">Ik kan uitleggen wat GTK is en hoe je het berekent</w:t>
      </w:r>
    </w:p>
    <w:p>
      <w:pPr>
        <w:pStyle w:val="ListParagraph"/>
        <w:numPr>
          <w:ilvl w:val="0"/>
          <w:numId w:val="2"/>
        </w:numPr>
        <w:spacing w:after="80"/>
      </w:pPr>
      <w:r>
        <w:rPr>
          <w:rFonts w:ascii="Arial" w:cs="Arial" w:eastAsia="Arial" w:hAnsi="Arial"/>
          <w:sz w:val="22"/>
          <w:szCs w:val="22"/>
        </w:rPr>
        <w:t xml:space="preserve">Ik kan uitleggen waarom GTK daalt bij een netwerksector</w:t>
      </w:r>
    </w:p>
    <w:p>
      <w:pPr>
        <w:pStyle w:val="ListParagraph"/>
        <w:numPr>
          <w:ilvl w:val="0"/>
          <w:numId w:val="2"/>
        </w:numPr>
        <w:spacing w:after="80"/>
      </w:pPr>
      <w:r>
        <w:rPr>
          <w:rFonts w:ascii="Arial" w:cs="Arial" w:eastAsia="Arial" w:hAnsi="Arial"/>
          <w:sz w:val="22"/>
          <w:szCs w:val="22"/>
        </w:rPr>
        <w:t xml:space="preserve">Ik kan op een grafiek de GTK aflezen bij een bepaalde productie</w:t>
      </w:r>
    </w:p>
    <w:p>
      <w:pPr>
        <w:pStyle w:val="ListParagraph"/>
        <w:numPr>
          <w:ilvl w:val="0"/>
          <w:numId w:val="2"/>
        </w:numPr>
        <w:spacing w:after="80"/>
      </w:pPr>
      <w:r>
        <w:rPr>
          <w:rFonts w:ascii="Arial" w:cs="Arial" w:eastAsia="Arial" w:hAnsi="Arial"/>
          <w:sz w:val="22"/>
          <w:szCs w:val="22"/>
        </w:rPr>
        <w:t xml:space="preserve">Ik weet wat 'economische machtspositie' betekent (drempel: 35%)</w:t>
      </w:r>
    </w:p>
    <w:p>
      <w:pPr>
        <w:pStyle w:val="ListParagraph"/>
        <w:numPr>
          <w:ilvl w:val="0"/>
          <w:numId w:val="2"/>
        </w:numPr>
        <w:spacing w:after="80"/>
      </w:pPr>
      <w:r>
        <w:rPr>
          <w:rFonts w:ascii="Arial" w:cs="Arial" w:eastAsia="Arial" w:hAnsi="Arial"/>
          <w:sz w:val="22"/>
          <w:szCs w:val="22"/>
        </w:rPr>
        <w:t xml:space="preserve">Ik kan het verschil uitleggen tussen negatieve en positieve externe effecten</w:t>
      </w:r>
    </w:p>
    <w:p>
      <w:pPr>
        <w:pStyle w:val="ListParagraph"/>
        <w:numPr>
          <w:ilvl w:val="0"/>
          <w:numId w:val="2"/>
        </w:numPr>
        <w:spacing w:after="80"/>
      </w:pPr>
      <w:r>
        <w:rPr>
          <w:rFonts w:ascii="Arial" w:cs="Arial" w:eastAsia="Arial" w:hAnsi="Arial"/>
          <w:sz w:val="22"/>
          <w:szCs w:val="22"/>
        </w:rPr>
        <w:t xml:space="preserve">Ik weet wat 'internaliseren' betekent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De rol van de overheid — Voorkennis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2026-03-23T09:44:51.067Z</dcterms:created>
  <dcterms:modified xsi:type="dcterms:W3CDTF">2026-03-23T09:44:51.067Z</dcterms:modified>
</cp:coreProperties>
</file>

<file path=docProps/custom.xml><?xml version="1.0" encoding="utf-8"?>
<Properties xmlns="http://schemas.openxmlformats.org/officeDocument/2006/custom-properties" xmlns:vt="http://schemas.openxmlformats.org/officeDocument/2006/docPropsVTypes"/>
</file>