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ACM beboet supermarkten: €82 miljoen voor prijsafspraken</w:t>
      </w:r>
    </w:p>
    <w:p>
      <w:pPr>
        <w:spacing w:after="160"/>
        <w:jc w:val="center"/>
      </w:pPr>
      <w:r>
        <w:drawing>
          <wp:inline distT="0" distB="0" distL="0" distR="0">
            <wp:extent cx="6124575" cy="2552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Autoriteit Consument &amp; Markt (ACM) heeft in februari 2025 twee grote supermarktketens beboet voor het onderling afstemmen van verkoopprijzen van zuivelproducten. De boetes bedragen samen €82 miljoen.</w:t>
      </w:r>
    </w:p>
    <w:p>
      <w:p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Volgens de ACM maakten de ketens afspraken over minimumprijzen, waardoor consumenten structureel te veel betaalden.</w:t>
      </w:r>
    </w:p>
    <w:p>
      <w:pPr>
        <w:spacing w:after="200" w:before="60"/>
      </w:pPr>
      <w:r>
        <w:rPr>
          <w:rFonts w:ascii="Arial" w:cs="Arial" w:eastAsia="Arial" w:hAnsi="Arial"/>
          <w:color w:val="718096"/>
          <w:sz w:val="18"/>
          <w:szCs w:val="18"/>
        </w:rPr>
        <w:t xml:space="preserve">Bron: Autoriteit Consument &amp; Markt (ACM), februari 2025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E67E22" w:sz="1"/>
              <w:left w:val="single" w:color="E67E22" w:sz="12"/>
              <w:bottom w:val="single" w:color="E67E22" w:sz="1"/>
              <w:right w:val="none" w:sz="0"/>
            </w:tcBorders>
            <w:shd w:fill="FEF5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A6A1C"/>
                <w:sz w:val="24"/>
                <w:szCs w:val="24"/>
              </w:rPr>
              <w:t xml:space="preserve">Vragen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a)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Leg uit welke vorm van marktfalen hier optreedt.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b)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Waarom is overheidsingrijpen nodig als bedrijven prijsafspraken maken?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c)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De ACM is een toezichthouder. Leg uit welke rol de overheid hier vervult.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d)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Noem twee andere vormen van marktfalen (naast kartelvorming) waarbij de overheid ingrijpt.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e)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Beoordeel of een boete van €82 miljoen een effectief middel is. Noem een argument vóór en een argument tegen.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E67E22" w:sz="1"/>
              <w:left w:val="single" w:color="E67E22" w:sz="12"/>
              <w:bottom w:val="single" w:color="E67E22" w:sz="1"/>
              <w:right w:val="none" w:sz="0"/>
            </w:tcBorders>
            <w:shd w:fill="FEF5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A6A1C"/>
                <w:sz w:val="24"/>
                <w:szCs w:val="24"/>
              </w:rPr>
              <w:t xml:space="preserve">Antwoordmodel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a)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Er is sprake van kartelvorming (prijsafspraken). Bedrijven schakelen de onderlinge concurrentie uit, waardoor de markt niet meer leidt tot een efficiënte uitkomst.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b)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Zonder overheidsingrijpen blijven de prijzen kunstmatig hoog. De markt corrigeert zichzelf niet, omdat de bedrijven er belang bij hebben de afspraken in stand te houden.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c)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De ACM vervult de rol van toezichthouder: zij controleert of bedrijven zich aan de mededingingswet houden en kan boetes opleggen.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d)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Voorbeelden: (1) externe effecten (bijv. milieuvervuiling), (2) informatieongelijkheid (bijv. misleidende reclame), (3) collectieve goederen (bijv. defensie).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e)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Vóór: een hoge boete schrikt af. Tegen: grote bedrijven kunnen de boete als bedrijfskosten beschouwen; het is mogelijk niet hoog genoeg.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6"/>
        <w:szCs w:val="16"/>
      </w:rPr>
      <w:t xml:space="preserve">Pagina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18096"/>
        <w:sz w:val="16"/>
        <w:szCs w:val="16"/>
      </w:rPr>
      <w:t xml:space="preserve">3.3.1 De rol van de overheid – Nieuws met visual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9819c004fefe2a71c5a5d1d345e54f0c9687ba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2026-03-24T12:25:07.390Z</dcterms:created>
  <dcterms:modified xsi:type="dcterms:W3CDTF">2026-03-24T12:25:07.390Z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