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De rol van de overheid</w:t>
      </w:r>
    </w:p>
    <w:p>
      <w:pPr>
        <w:spacing w:after="40"/>
        <w:jc w:val="center"/>
      </w:pPr>
      <w:r>
        <w:rPr>
          <w:rFonts w:ascii="Arial" w:cs="Arial" w:eastAsia="Arial" w:hAnsi="Arial"/>
          <w:color w:val="718096"/>
          <w:sz w:val="26"/>
          <w:szCs w:val="26"/>
        </w:rPr>
        <w:t xml:space="preserve">Basisopgaven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de introductie van het hoofdstuk.</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Geef een reden waarom PostNL Sandd niet zou moeten mogen overnemen.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 de overname ontstaat er een monopolist die een hoge prijs kan vragen voor de postbezorging.</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een reden waarom PostNL Sandd wel zou moeten mogen overnemen.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Postbezorging heeft kenmerken van een natuurlijk monopolie. Na de overname kan PostNL de post bezorgen tegen lagere GTK. Daardoor kan het bij een lagere prijs nog steeds winst maken.</w:t>
            </w:r>
          </w:p>
          <w:p>
            <w:pPr>
              <w:spacing w:after="80"/>
            </w:pPr>
            <w:r>
              <w:rPr>
                <w:rFonts w:ascii="Arial" w:cs="Arial" w:eastAsia="Arial" w:hAnsi="Arial"/>
                <w:color w:val="2D3748"/>
                <w:sz w:val="22"/>
                <w:szCs w:val="22"/>
              </w:rPr>
              <w:t xml:space="preserve">Dit is noodzakelijk vanwege het alsmaar dalende aantal poststukken.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‘Google beboet voor € 1,49 miljard vanwege beperking vrijemarktwerking’.</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moet de Europese Commissie het marktaandeel van Google bepalen voordat ze een boete kan opleggen?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boete kan alleen opgelegd worden aan bedrijven met een economische machtspositie.</w:t>
            </w:r>
          </w:p>
          <w:p>
            <w:pPr>
              <w:spacing w:after="80"/>
            </w:pPr>
            <w:r>
              <w:rPr>
                <w:rFonts w:ascii="Arial" w:cs="Arial" w:eastAsia="Arial" w:hAnsi="Arial"/>
                <w:color w:val="2D3748"/>
                <w:sz w:val="22"/>
                <w:szCs w:val="22"/>
              </w:rPr>
              <w:t xml:space="preserve">En er is alleen sprake van een economische machtspositie als de betrokken aanbieder een marktaandeel heeft van ten minste 35%.</w:t>
            </w:r>
          </w:p>
          <w:p>
            <w:pPr>
              <w:spacing w:after="80"/>
            </w:pPr>
            <w:r>
              <w:rPr>
                <w:rFonts w:ascii="Arial" w:cs="Arial" w:eastAsia="Arial" w:hAnsi="Arial"/>
                <w:color w:val="2D3748"/>
                <w:sz w:val="22"/>
                <w:szCs w:val="22"/>
              </w:rPr>
              <w:t xml:space="preserve">Daarom moet de EC het feitelijke marktaandeel van Google vaststellen, want als dat beneden de 35% zou zijn geweest, dan was er geen sprake van een economische machtspositie en kan Google de wet nooit hebben overtreden.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Waarom zou er geen probleem geweest zijn als Google een veel kleiner marktaandeel op de markt van zoekmachines gehad zou hebben?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Google een marktaandeel van minder dan 35% zou hebben gehad, dan was er geen sprake van een economische machtspositie en kon die positie ten principale niet misbruikt worden.</w:t>
            </w:r>
          </w:p>
          <w:p>
            <w:pPr>
              <w:spacing w:after="80"/>
            </w:pPr>
            <w:r>
              <w:rPr>
                <w:rFonts w:ascii="Arial" w:cs="Arial" w:eastAsia="Arial" w:hAnsi="Arial"/>
                <w:color w:val="2D3748"/>
                <w:sz w:val="22"/>
                <w:szCs w:val="22"/>
              </w:rPr>
              <w:t>Bovendien zou Google bij een klein(er) marktaandeel veel minder succesvol zijn geweest in zijn pogingen andere aanbieders van zoekmachines weg te concurreren,</w:t>
            </w:r>
          </w:p>
          <w:p>
            <w:pPr>
              <w:spacing w:after="80"/>
            </w:pPr>
            <w:r>
              <w:rPr>
                <w:rFonts w:ascii="Arial" w:cs="Arial" w:eastAsia="Arial" w:hAnsi="Arial"/>
                <w:color w:val="2D3748"/>
                <w:sz w:val="22"/>
                <w:szCs w:val="22"/>
              </w:rPr>
              <w:t xml:space="preserve">want aanbieders zouden in dat geval niet allemaal bij Google adverteren maar ook bij zijn concurrenten,</w:t>
            </w:r>
          </w:p>
          <w:p>
            <w:pPr>
              <w:spacing w:after="80"/>
            </w:pPr>
            <w:r>
              <w:rPr>
                <w:rFonts w:ascii="Arial" w:cs="Arial" w:eastAsia="Arial" w:hAnsi="Arial"/>
                <w:color w:val="2D3748"/>
                <w:sz w:val="22"/>
                <w:szCs w:val="22"/>
              </w:rPr>
              <w:t xml:space="preserve">want die zouden ook een belangrijk deel van de markt bedienen.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Voor welke andere oplossing dan het opleggen van een boete had de Europese Commissie kunnen kiezen voor het machtsmisbruik van Google?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Google verplichten dat andere zoekmachines advertentieruimte bij Google kunnen inkopen, zodat aanbieders ook via andere zoekmachines bij de zoekresultaten via Google getoond worden.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‘Netwerksectoren als natuurlijke monopolies’.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Hoe verlopen de GTK bij een netwerksector?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Die blijven dalen bij een grotere productie.</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Wat is natuurlijk aan een ‘natuurlijk monopolie’?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Dat één aanbieder die de gehele productie voor zijn rekening neemt altijd lagere GTK heeft dan twee of meer aanbieders. Het is dan natuurlijk dat de markt maar door één aanbieder bediend wordt.</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Noem twee andere voorbeelden van natuurlijke monopolies.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Industrieën met alsmaar dalende GTK bij stijgende productie, zoals postbezorging en software.</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Een aantal jaar geleden voerde de Nederlandse regering een vliegtaks in: een heffing op een vliegticket. De maatregel werd bekritiseerd, omdat de opbrengst van de vliegtaks niet gebruikt werd voor het verbeteren van het milieu.</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Geef twee argumenten voor de invoering van een vliegtaks.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Vliegtuigverkeer brengt negatieve externe effecten (luchtvervuiling) met zich mee die niet in de beslissingen van consumenten en producenten worden meegewogen, waardoor de markt niet optimaal functioneert.</w:t>
            </w:r>
          </w:p>
          <w:p>
            <w:pPr>
              <w:spacing w:after="80"/>
            </w:pPr>
            <w:r>
              <w:rPr>
                <w:rFonts w:ascii="Arial" w:cs="Arial" w:eastAsia="Arial" w:hAnsi="Arial"/>
                <w:color w:val="2D3748"/>
                <w:sz w:val="22"/>
                <w:szCs w:val="22"/>
              </w:rPr>
              <w:t xml:space="preserve">Een kunstmatige prijsverhoging vermindert dit negatieve externe effect.</w:t>
            </w:r>
          </w:p>
          <w:p>
            <w:pPr>
              <w:spacing w:after="80"/>
            </w:pPr>
            <w:r>
              <w:rPr>
                <w:rFonts w:ascii="Arial" w:cs="Arial" w:eastAsia="Arial" w:hAnsi="Arial"/>
                <w:color w:val="2D3748"/>
                <w:sz w:val="22"/>
                <w:szCs w:val="22"/>
              </w:rPr>
              <w:t xml:space="preserve">Daarnaast genereert het belastinginkomsten die aangewend kunnen worden voor, bijvoorbeeld, het voortbrengen van collectieve goederen.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de kritiek op de vliegtaks terecht?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want de kunstmatige kostprijsverhoging door de vliegtaks vermindert het negatieve externe effect, ook als de overheid de opbrengst niet aan een verbetering van het milieu besteedt.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10.</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het bezit van honden in de gemeente Tiendeveld vóór het invoeren van de hondenbelasting een negatief extern effect veroorzaakte.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bron 10 staat: ‘In de gemeente vormt hondenpoep een belangrijke bron van overlast.’</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dat het bezit van honden in de gemeente Tiendeveld na het invoeren van de hondenbelasting geen negatief extern effect meer veroorzaakt.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kosten worden nu verwerkt in een belasting, waardoor de overlast niet meer extern is.</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In de leertekst staat waarom vaccinatie tegen tuberculose positieve externe effecten heeft.</w:t>
            </w:r>
          </w:p>
        </w:tc>
      </w:tr>
    </w:tbl>
    <w:p>
      <w:pPr>
        <w:spacing w:after="80"/>
      </w:pPr>
    </w:p>
    <w:p>
      <w:pPr>
        <w:keepNext/>
        <w:spacing w:after="80"/>
      </w:pPr>
      <w:r>
        <w:rPr>
          <w:rFonts w:ascii="Arial" w:cs="Arial" w:eastAsia="Arial" w:hAnsi="Arial"/>
          <w:color w:val="2D3748"/>
          <w:sz w:val="22"/>
          <w:szCs w:val="22"/>
        </w:rPr>
        <w:t xml:space="preserve">Bedenk twee andere voorbeelden van goederen of diensten met positieve externe effecten.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onderwijs, het onderhouden van tuinen (genieten voorbijgangers van mee), het aanleggen van dijken.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‘De externe effecten van vaccinaties’.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er sprake is van een positief extern effect als ouders door verplichte vaccinaties ook niet-verplichte vaccinaties afnemen.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Doordat ouders hun kinderen ook lieten inenten tegen bijvoorbeeld baarmoederhalskanker, nam het aantal gevallen van baarmoederhalskanker af.</w:t>
            </w:r>
          </w:p>
          <w:p>
            <w:pPr>
              <w:spacing w:after="80"/>
            </w:pPr>
            <w:r>
              <w:rPr>
                <w:rFonts w:ascii="Arial" w:cs="Arial" w:eastAsia="Arial" w:hAnsi="Arial"/>
                <w:color w:val="2D3748"/>
                <w:sz w:val="22"/>
                <w:szCs w:val="22"/>
              </w:rPr>
              <w:t xml:space="preserve">Dit betekent minder maatschappelijke kosten (ziekenhuiskosten e.d.).</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In welke zin wordt precies uitgelegd hoe de twee economen handig gebruikmaakten van een verandering in de wetgeving in de Verenigde Staten?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de zin ‘Doordat de verplichting niet in iedere staat op hetzelfde moment werd ingevoerd, konden de onderzoekers het effect van de verplichte invoering van de DTK-prik op andere, vrijwillige vaccinaties nauwkeurig achterhalen.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is de opmerking van de vrouw in de cartoon onzinnig?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Omdat de kinderen nu moeten worden ingeënt (en niet later).</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vaste boekenprijs’.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het prijsbeleid van de overheid een oorzaak kan zijn voor het teruglopend aantal boekhandels.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vaste boekenprijs houdt de gemiddelde prijs van een boek hoog, waardoor de vraag lager is dan in de situatie zonder prijsbeleid.</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twee andere mogelijke oorzaken voor de daling van het aantal boekhandels.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de opkomst van digitale boeken, de toenemende verkoop via internet</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De rol van de overheid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2026-03-23T21:15:04.344Z</dcterms:created>
  <dcterms:modified xsi:type="dcterms:W3CDTF">2026-03-23T21:15:04.344Z</dcterms:modified>
</cp:coreProperties>
</file>

<file path=docProps/custom.xml><?xml version="1.0" encoding="utf-8"?>
<Properties xmlns="http://schemas.openxmlformats.org/officeDocument/2006/custom-properties" xmlns:vt="http://schemas.openxmlformats.org/officeDocument/2006/docPropsVTypes"/>
</file>