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Toepassen: Overheid – Voorkennis</w:t>
      </w:r>
    </w:p>
    <w:p>
      <w:pPr>
        <w:spacing w:after="40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Wat moet je al weten voordat je aan deze paragraaf begint?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Inhoudsopgave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Vraag en aanbod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Marktfalen herkennen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Basisrekenen met percentages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Grafieken lezen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Borders>
              <w:top w:val="single" w:color="1A5276" w:sz="1"/>
              <w:left w:val="single" w:color="1A5276" w:sz="12"/>
              <w:bottom w:val="single" w:color="1A5276" w:sz="1"/>
              <w:right w:val="none" w:sz="0"/>
            </w:tcBorders>
            <w:shd w:fill="EBF5FB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54360"/>
                <w:sz w:val="24"/>
                <w:szCs w:val="24"/>
              </w:rPr>
              <w:t xml:space="preserve">Vraag en aanbod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dit hoofdstuk analyseer je situaties waarin de overheid ingrijpt in markten. Daarvoor moet je het basismodel van vraag en aanbod beheersen.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vraaglijn loopt dalend: hoe hoger de prijs, hoe lager de gevraagde hoeveelheid. De aanbodlijn loopt stijgend. Het snijpunt is het marktevenwicht.</w:t>
      </w:r>
    </w:p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Controleer jezelf: kun je in een grafiek het evenwichtspunt aanwijzen en uitleggen wat er gebeurt als de vraag of het aanbod verschuift?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Borders>
              <w:top w:val="single" w:color="E67E22" w:sz="1"/>
              <w:left w:val="single" w:color="E67E22" w:sz="12"/>
              <w:bottom w:val="single" w:color="E67E22" w:sz="1"/>
              <w:right w:val="none" w:sz="0"/>
            </w:tcBorders>
            <w:shd w:fill="FEF5E7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BA6A1C"/>
                <w:sz w:val="24"/>
                <w:szCs w:val="24"/>
              </w:rPr>
              <w:t xml:space="preserve">Marktfalen herkennen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overheid grijpt in bij marktfalen. Je moet de vier hoofdvormen kunnen herkennen:</w:t>
      </w:r>
    </w:p>
    <w:p>
      <w:pPr>
        <w:spacing w:before="200"/>
      </w:pPr>
    </w:p>
    <w:tbl>
      <w:tblPr>
        <w:tblW w:type="dxa" w:w="9026"/>
        <w:tblBorders>
          <w:top w:val="single" w:color="CBD5E0" w:sz="1"/>
          <w:left w:val="single" w:color="CBD5E0" w:sz="1"/>
          <w:bottom w:val="single" w:color="CBD5E0" w:sz="1"/>
          <w:right w:val="single" w:color="CBD5E0" w:sz="1"/>
          <w:insideH w:val="single" w:color="CBD5E0" w:sz="1"/>
          <w:insideV w:val="single" w:color="CBD5E0" w:sz="1"/>
        </w:tblBorders>
      </w:tblPr>
      <w:tblGrid>
        <w:gridCol w:w="100"/>
        <w:gridCol w:w="100"/>
      </w:tblGrid>
      <w:tr>
        <w:tc>
          <w:tcPr>
            <w:tcW w:type="dxa" w:w="3000"/>
            <w:shd w:fill="1E2761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Begrip</w:t>
            </w:r>
          </w:p>
        </w:tc>
        <w:tc>
          <w:tcPr>
            <w:tcW w:type="dxa" w:w="6026"/>
            <w:shd w:fill="1E2761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Betekenis</w:t>
            </w:r>
          </w:p>
        </w:tc>
      </w:tr>
      <w:tr>
        <w:tc>
          <w:tcPr>
            <w:tcW w:type="dxa" w:w="3000"/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Externe effecten</w:t>
            </w:r>
          </w:p>
        </w:tc>
        <w:tc>
          <w:tcPr>
            <w:tcW w:type="dxa" w:w="6026"/>
            <w:shd w:fill="F7FAFC" w:val="clear"/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Kosten of baten voor derden die niet in de prijs zijn verwerkt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Marktmacht</w:t>
            </w:r>
          </w:p>
        </w:tc>
        <w:tc>
          <w:tcPr>
            <w:tcW w:type="dxa" w:w="6026"/>
            <w:shd w:fill="FFFFFF" w:val="clear"/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Eén of enkele aanbieders bepalen de prijs (monopolie, kartel)</w:t>
            </w:r>
          </w:p>
        </w:tc>
      </w:tr>
      <w:tr>
        <w:tc>
          <w:tcPr>
            <w:tcW w:type="dxa" w:w="3000"/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Informatieongelijkheid</w:t>
            </w:r>
          </w:p>
        </w:tc>
        <w:tc>
          <w:tcPr>
            <w:tcW w:type="dxa" w:w="6026"/>
            <w:shd w:fill="F7FAFC" w:val="clear"/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 ene partij weet meer dan de andere (bijv. verzekeringsmarkt)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Collectieve goederen</w:t>
            </w:r>
          </w:p>
        </w:tc>
        <w:tc>
          <w:tcPr>
            <w:tcW w:type="dxa" w:w="6026"/>
            <w:shd w:fill="FFFFFF" w:val="clear"/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Niet-uitsluitbaar en niet-rivaliserend → markt levert ze niet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Borders>
              <w:top w:val="single" w:color="1E8449" w:sz="1"/>
              <w:left w:val="single" w:color="1E8449" w:sz="12"/>
              <w:bottom w:val="single" w:color="1E8449" w:sz="1"/>
              <w:right w:val="none" w:sz="0"/>
            </w:tcBorders>
            <w:shd w:fill="E8F8F0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86A3B"/>
                <w:sz w:val="24"/>
                <w:szCs w:val="24"/>
              </w:rPr>
              <w:t xml:space="preserve">Basisrekenen met percentages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overheidsbeleid reken je vaak met belastingen, subsidies en prijsveranderingen. Je moet vlot met percentages kunnen werken.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Procentuele verandering = (nieuw – oud) / oud × 100%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Voorbeeld: een accijns verhoogt de prijs van €10 naar €12. De procentuele stijging is (12 – 10) / 10 × 100% = 20%.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Borders>
              <w:top w:val="single" w:color="1A5276" w:sz="1"/>
              <w:left w:val="single" w:color="1A5276" w:sz="12"/>
              <w:bottom w:val="single" w:color="1A5276" w:sz="1"/>
              <w:right w:val="none" w:sz="0"/>
            </w:tcBorders>
            <w:shd w:fill="EBF5FB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54360"/>
                <w:sz w:val="24"/>
                <w:szCs w:val="24"/>
              </w:rPr>
              <w:t xml:space="preserve">Grafieken lezen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dit hoofdstuk werk je met vraag-en-aanbodgrafieken, welvaartsanalyses en effecten van belastingen en subsidies. Zorg dat je: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assen correct kunt benoemen (prijs verticaal, hoeveelheid horizontaal)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verschuiving van een curve kunt onderscheiden van een beweging lángs een curve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Surplusgebieden (consumentensurplus, producentensurplus) kunt aanwijzen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Pagina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18096"/>
        <w:sz w:val="16"/>
        <w:szCs w:val="16"/>
      </w:rPr>
      <w:t xml:space="preserve">3.3.4 Toepassen – Uitleg voorkennis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2026-03-24T09:04:06.269Z</dcterms:created>
  <dcterms:modified xsi:type="dcterms:W3CDTF">2026-03-24T09:04:06.270Z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