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Toepassen: Overheid – Vaardigheden</w:t>
      </w:r>
    </w:p>
    <w:p>
      <w:pPr>
        <w:spacing w:after="400"/>
        <w:jc w:val="center"/>
      </w:pPr>
      <w:r>
        <w:rPr>
          <w:rFonts w:ascii="Arial" w:cs="Arial" w:eastAsia="Arial" w:hAnsi="Arial"/>
          <w:color w:val="718096"/>
          <w:sz w:val="24"/>
          <w:szCs w:val="24"/>
        </w:rPr>
        <w:t xml:space="preserve">Welke vaardigheden leer je in deze paragraaf?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Inhoudsopgave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Marktfalen herkennen en classificeren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Overheidsingrijpen analyseren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Collectieve goederen beoordelen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Doelmatigheid vs. rechtvaardigheid afwegen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tcBorders>
              <w:top w:val="single" w:color="E67E22" w:sz="1"/>
              <w:left w:val="single" w:color="E67E22" w:sz="12"/>
              <w:bottom w:val="single" w:color="E67E22" w:sz="1"/>
              <w:right w:val="none" w:sz="0"/>
            </w:tcBorders>
            <w:shd w:fill="FEF5E7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BA6A1C"/>
                <w:sz w:val="24"/>
                <w:szCs w:val="24"/>
              </w:rPr>
              <w:t xml:space="preserve">Marktfalen herkennen en classificeren</w:t>
            </w:r>
          </w:p>
        </w:tc>
      </w:tr>
    </w:tbl>
    <w:p>
      <w:pPr>
        <w:spacing w:before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BA6A1C"/>
          <w:sz w:val="26"/>
          <w:szCs w:val="26"/>
        </w:rPr>
        <w:t xml:space="preserve">Waarom is dit belangrijk?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overheid grijpt alleen in als er een goede reden is. Die reden is vrijwel altijd marktfalen. Je moet in een casus kunnen herkennen welke vorm van marktfalen optreedt.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BA6A1C"/>
          <w:sz w:val="26"/>
          <w:szCs w:val="26"/>
        </w:rPr>
        <w:t xml:space="preserve">Hoe?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Stap 1: Lees de casus en zoek naar signaalwoorden (overlast, monopolie, geen alternatief, iedereen profiteert)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Stap 2: Koppel aan een categorie: externe effecten, marktmacht, informatieongelijkheid of collectief goed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Stap 3: Leg uit waarom de markt hier faalt (wat gaat er mis zonder ingrijpen?)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BA6A1C"/>
          <w:sz w:val="26"/>
          <w:szCs w:val="26"/>
        </w:rPr>
        <w:t xml:space="preserve">Voorbeeld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Een fabriek loost afvalwater in een rivier. Omwonenden worden ziek. → Negatief extern effect: de kosten (gezondheidsschade) worden niet gedragen door de fabriek maar door derden.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tcBorders>
              <w:top w:val="single" w:color="E67E22" w:sz="1"/>
              <w:left w:val="single" w:color="E67E22" w:sz="12"/>
              <w:bottom w:val="single" w:color="E67E22" w:sz="1"/>
              <w:right w:val="none" w:sz="0"/>
            </w:tcBorders>
            <w:shd w:fill="FEF5E7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BA6A1C"/>
                <w:sz w:val="24"/>
                <w:szCs w:val="24"/>
              </w:rPr>
              <w:t xml:space="preserve">Overheidsingrijpen analyseren</w:t>
            </w:r>
          </w:p>
        </w:tc>
      </w:tr>
    </w:tbl>
    <w:p>
      <w:pPr>
        <w:spacing w:before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BA6A1C"/>
          <w:sz w:val="26"/>
          <w:szCs w:val="26"/>
        </w:rPr>
        <w:t xml:space="preserve">Waarom?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overheid heeft verschillende instrumenten: belastingen, subsidies, regulering, verboden, voorlichting. Je moet kunnen uitleggen welk instrument past bij welk probleem.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BA6A1C"/>
          <w:sz w:val="26"/>
          <w:szCs w:val="26"/>
        </w:rPr>
        <w:t xml:space="preserve">Hoe?</w:t>
      </w:r>
    </w:p>
    <w:tbl>
      <w:tblPr>
        <w:tblW w:type="dxa" w:w="9026"/>
        <w:tblBorders>
          <w:top w:val="single" w:color="CBD5E0" w:sz="1"/>
          <w:left w:val="single" w:color="CBD5E0" w:sz="1"/>
          <w:bottom w:val="single" w:color="CBD5E0" w:sz="1"/>
          <w:right w:val="single" w:color="CBD5E0" w:sz="1"/>
          <w:insideH w:val="single" w:color="CBD5E0" w:sz="1"/>
          <w:insideV w:val="single" w:color="CBD5E0" w:sz="1"/>
        </w:tblBorders>
      </w:tblPr>
      <w:tblGrid>
        <w:gridCol w:w="100"/>
        <w:gridCol w:w="100"/>
      </w:tblGrid>
      <w:tr>
        <w:tc>
          <w:tcPr>
            <w:tcW w:type="dxa" w:w="3000"/>
            <w:shd w:fill="1E2761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Begrip</w:t>
            </w:r>
          </w:p>
        </w:tc>
        <w:tc>
          <w:tcPr>
            <w:tcW w:type="dxa" w:w="6026"/>
            <w:shd w:fill="1E2761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Betekenis</w:t>
            </w:r>
          </w:p>
        </w:tc>
      </w:tr>
      <w:tr>
        <w:tc>
          <w:tcPr>
            <w:tcW w:type="dxa" w:w="3000"/>
            <w:shd w:fill="F7FAFC" w:val="clear"/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Corrigerende belasting</w:t>
            </w:r>
          </w:p>
        </w:tc>
        <w:tc>
          <w:tcPr>
            <w:tcW w:type="dxa" w:w="6026"/>
            <w:shd w:fill="F7FAFC" w:val="clear"/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Beprijst negatief extern effect (bijv. accijns op tabak)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Subsidie</w:t>
            </w:r>
          </w:p>
        </w:tc>
        <w:tc>
          <w:tcPr>
            <w:tcW w:type="dxa" w:w="6026"/>
            <w:shd w:fill="FFFFFF" w:val="clear"/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Stimuleert positief extern effect (bijv. subsidie op zonnepanelen)</w:t>
            </w:r>
          </w:p>
        </w:tc>
      </w:tr>
      <w:tr>
        <w:tc>
          <w:tcPr>
            <w:tcW w:type="dxa" w:w="3000"/>
            <w:shd w:fill="F7FAFC" w:val="clear"/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Regulering</w:t>
            </w:r>
          </w:p>
        </w:tc>
        <w:tc>
          <w:tcPr>
            <w:tcW w:type="dxa" w:w="6026"/>
            <w:shd w:fill="F7FAFC" w:val="clear"/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Stelt regels (bijv. maximumprijs, emisienormen)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Verbod</w:t>
            </w:r>
          </w:p>
        </w:tc>
        <w:tc>
          <w:tcPr>
            <w:tcW w:type="dxa" w:w="6026"/>
            <w:shd w:fill="FFFFFF" w:val="clear"/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Schakelt ongewenst gedrag volledig uit (bijv. drugs)</w:t>
            </w:r>
          </w:p>
        </w:tc>
      </w:tr>
      <w:tr>
        <w:tc>
          <w:tcPr>
            <w:tcW w:type="dxa" w:w="3000"/>
            <w:shd w:fill="F7FAFC" w:val="clear"/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Voorlichting</w:t>
            </w:r>
          </w:p>
        </w:tc>
        <w:tc>
          <w:tcPr>
            <w:tcW w:type="dxa" w:w="6026"/>
            <w:shd w:fill="F7FAFC" w:val="clear"/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Vermindert informatieongelijkheid (bijv. voedseletiketten)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BA6A1C"/>
          <w:sz w:val="26"/>
          <w:szCs w:val="26"/>
        </w:rPr>
        <w:t xml:space="preserve">Voorbeeld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Roken veroorzaakt externe kosten (gezondheidszorg). De overheid heft accijns → de prijs stijgt → de consumptie daalt richting het maatschappelijk optimum. Dit is een corrigerende (pigouviaanse) belasting.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tcBorders>
              <w:top w:val="single" w:color="E67E22" w:sz="1"/>
              <w:left w:val="single" w:color="E67E22" w:sz="12"/>
              <w:bottom w:val="single" w:color="E67E22" w:sz="1"/>
              <w:right w:val="none" w:sz="0"/>
            </w:tcBorders>
            <w:shd w:fill="FEF5E7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BA6A1C"/>
                <w:sz w:val="24"/>
                <w:szCs w:val="24"/>
              </w:rPr>
              <w:t xml:space="preserve">Collectieve goederen beoordelen</w:t>
            </w:r>
          </w:p>
        </w:tc>
      </w:tr>
    </w:tbl>
    <w:p>
      <w:pPr>
        <w:spacing w:before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BA6A1C"/>
          <w:sz w:val="26"/>
          <w:szCs w:val="26"/>
        </w:rPr>
        <w:t xml:space="preserve">Waarom?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Je moet kunnen beoordelen of een goed collectief is en uitleggen waarom de markt het niet kan leveren.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BA6A1C"/>
          <w:sz w:val="26"/>
          <w:szCs w:val="26"/>
        </w:rPr>
        <w:t xml:space="preserve">Hoe?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Check 1: Is het goed niet-uitsluitbaar? (Kun je iemand uitsluiten van gebruik?)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Check 2: Is het goed niet-rivaliserend? (Vermindert gebruik door de één het nut voor de ander?)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Beide ja → collectief goed. Eén nee → quasi-collectief of privaat goed.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BA6A1C"/>
          <w:sz w:val="26"/>
          <w:szCs w:val="26"/>
        </w:rPr>
        <w:t xml:space="preserve">Voorbeeld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Straatverlichting: je kunt niemand uitsluiten (niet-uitsluitbaar) en het licht voor de één gaat niet ten koste van de ander (niet-rivaliserend) → collectief goed.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tcBorders>
              <w:top w:val="single" w:color="E67E22" w:sz="1"/>
              <w:left w:val="single" w:color="E67E22" w:sz="12"/>
              <w:bottom w:val="single" w:color="E67E22" w:sz="1"/>
              <w:right w:val="none" w:sz="0"/>
            </w:tcBorders>
            <w:shd w:fill="FEF5E7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BA6A1C"/>
                <w:sz w:val="24"/>
                <w:szCs w:val="24"/>
              </w:rPr>
              <w:t xml:space="preserve">Doelmatigheid vs. rechtvaardigheid</w:t>
            </w:r>
          </w:p>
        </w:tc>
      </w:tr>
    </w:tbl>
    <w:p>
      <w:pPr>
        <w:spacing w:before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BA6A1C"/>
          <w:sz w:val="26"/>
          <w:szCs w:val="26"/>
        </w:rPr>
        <w:t xml:space="preserve">Waarom?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Overheidsbeleid heeft altijd een efficiëntie-kant (doelmatigheid) en een verdelings-kant (rechtvaardigheid). Je moet beide kanten kunnen beargumenteren.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BA6A1C"/>
          <w:sz w:val="26"/>
          <w:szCs w:val="26"/>
        </w:rPr>
        <w:t xml:space="preserve">Hoe?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Doelmatigheid: leidt het beleid tot een betere allocatie van middelen? (minder welvaartsverlies?)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Rechtvaardigheid: wie draagt de lasten? Worden zwakkere groepen beschermd of juist benadeeld?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Tip: bij beoordelingsvragen in het examen wordt vaak gevraagd om beide perspectieven te benoemen.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6"/>
        <w:szCs w:val="16"/>
      </w:rPr>
      <w:t xml:space="preserve">Pagina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18096"/>
        <w:sz w:val="16"/>
        <w:szCs w:val="16"/>
      </w:rPr>
      <w:t xml:space="preserve">3.3.4 Toepassen – Uitleg vaardigheden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2026-03-24T09:04:06.297Z</dcterms:created>
  <dcterms:modified xsi:type="dcterms:W3CDTF">2026-03-24T09:04:06.297Z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