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36"/>
                <w:szCs w:val="36"/>
              </w:rPr>
              <w:t xml:space="preserve">3.4.1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Internationale handel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EBF5FB"/>
                <w:sz w:val="22"/>
                <w:szCs w:val="22"/>
              </w:rPr>
              <w:t xml:space="preserve">Waarom handelen landen met elkaar?</w:t>
            </w:r>
          </w:p>
        </w:tc>
      </w:tr>
    </w:tbl>
    <w:p>
      <w:pPr>
        <w:spacing w:after="8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1A5276" w:sz="4"/>
              <w:right w:val="none" w:color="FFFFFF" w:sz="0"/>
            </w:tcBorders>
            <w:tcMar>
              <w:top w:type="dxa" w:w="4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▶  </w:t>
            </w:r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Autarkie vs. vrijhandel</w:t>
            </w:r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   —   Zelf doen of samenwerken?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200"/>
        <w:gridCol w:w="5133"/>
      </w:tblGrid>
      <w:tr>
        <w:tc>
          <w:tcPr>
            <w:tcW w:type="dxa" w:w="5133"/>
            <w:tcBorders>
              <w:top w:val="single" w:color="D9534F" w:sz="6"/>
              <w:left w:val="single" w:color="FDE8E8" w:sz="1"/>
              <w:bottom w:val="single" w:color="FDE8E8" w:sz="1"/>
              <w:right w:val="single" w:color="FDE8E8" w:sz="1"/>
            </w:tcBorders>
            <w:shd w:fill="FDE8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Autarkie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Alles zelf produceren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Geen import of export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Beperkt aanbod, hogere prijzen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8096"/>
                <w:sz w:val="20"/>
                <w:szCs w:val="20"/>
              </w:rPr>
              <w:t xml:space="preserve">vs.</w:t>
            </w:r>
          </w:p>
        </w:tc>
        <w:tc>
          <w:tcPr>
            <w:tcW w:type="dxa" w:w="5133"/>
            <w:tcBorders>
              <w:top w:val="single" w:color="1E8449" w:sz="6"/>
              <w:left w:val="single" w:color="E8F8F0" w:sz="1"/>
              <w:bottom w:val="single" w:color="E8F8F0" w:sz="1"/>
              <w:right w:val="single" w:color="E8F8F0" w:sz="1"/>
            </w:tcBorders>
            <w:shd w:fill="E8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Vrijhandel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Landen specialiseren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Import + export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Meer keuze, lagere prijzen</w:t>
            </w:r>
          </w:p>
        </w:tc>
      </w:tr>
    </w:tbl>
    <w:p>
      <w:pPr>
        <w:spacing w:after="8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E67E22" w:sz="4"/>
              <w:right w:val="none" w:color="FFFFFF" w:sz="0"/>
            </w:tcBorders>
            <w:tcMar>
              <w:top w:type="dxa" w:w="4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▶  </w:t>
            </w:r>
            <w:r>
              <w:rPr>
                <w:rFonts w:ascii="Arial" w:cs="Arial" w:eastAsia="Arial" w:hAnsi="Arial"/>
                <w:b/>
                <w:bCs/>
                <w:color w:val="E67E22"/>
                <w:sz w:val="24"/>
                <w:szCs w:val="24"/>
              </w:rPr>
              <w:t xml:space="preserve">Factoren handelsstromen</w:t>
            </w:r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   —   Wat bepaalt hoeveel landen handelen?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E67E22" w:sz="6"/>
              <w:left w:val="single" w:color="FEF5E7" w:sz="1"/>
              <w:bottom w:val="single" w:color="FEF5E7" w:sz="1"/>
              <w:right w:val="single" w:color="FEF5E7" w:sz="1"/>
            </w:tcBorders>
            <w:shd w:fill="FEF5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6A1C"/>
                <w:sz w:val="20"/>
                <w:szCs w:val="20"/>
              </w:rPr>
              <w:t xml:space="preserve">Ligging</w:t>
            </w:r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  •  </w:t>
            </w:r>
            <w:r>
              <w:rPr>
                <w:rFonts w:ascii="Arial" w:cs="Arial" w:eastAsia="Arial" w:hAnsi="Arial"/>
                <w:b/>
                <w:bCs/>
                <w:color w:val="BA6A1C"/>
                <w:sz w:val="20"/>
                <w:szCs w:val="20"/>
              </w:rPr>
              <w:t xml:space="preserve">Achterland</w:t>
            </w:r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  •  </w:t>
            </w:r>
            <w:r>
              <w:rPr>
                <w:rFonts w:ascii="Arial" w:cs="Arial" w:eastAsia="Arial" w:hAnsi="Arial"/>
                <w:b/>
                <w:bCs/>
                <w:color w:val="BA6A1C"/>
                <w:sz w:val="20"/>
                <w:szCs w:val="20"/>
              </w:rPr>
              <w:t xml:space="preserve">Infrastructuur</w:t>
            </w:r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  •  </w:t>
            </w:r>
            <w:r>
              <w:rPr>
                <w:rFonts w:ascii="Arial" w:cs="Arial" w:eastAsia="Arial" w:hAnsi="Arial"/>
                <w:b/>
                <w:bCs/>
                <w:color w:val="BA6A1C"/>
                <w:sz w:val="20"/>
                <w:szCs w:val="20"/>
              </w:rPr>
              <w:t xml:space="preserve">Handelsblok</w:t>
            </w:r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  •  </w:t>
            </w:r>
            <w:r>
              <w:rPr>
                <w:rFonts w:ascii="Arial" w:cs="Arial" w:eastAsia="Arial" w:hAnsi="Arial"/>
                <w:b/>
                <w:bCs/>
                <w:color w:val="BA6A1C"/>
                <w:sz w:val="20"/>
                <w:szCs w:val="20"/>
              </w:rPr>
              <w:t xml:space="preserve">Cultuur</w:t>
            </w:r>
          </w:p>
        </w:tc>
      </w:tr>
    </w:tbl>
    <w:p>
      <w:pPr>
        <w:spacing w:after="8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1E8449" w:sz="4"/>
              <w:right w:val="none" w:color="FFFFFF" w:sz="0"/>
            </w:tcBorders>
            <w:tcMar>
              <w:top w:type="dxa" w:w="4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▶  </w:t>
            </w:r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Graviteitsvergelijking</w:t>
            </w:r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   —   Hoe sterker de 'massa', hoe meer handel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1E8449" w:sz="6"/>
              <w:left w:val="single" w:color="E8F8F0" w:sz="1"/>
              <w:bottom w:val="single" w:color="E8F8F0" w:sz="1"/>
              <w:right w:val="single" w:color="E8F8F0" w:sz="1"/>
            </w:tcBorders>
            <w:shd w:fill="E8F8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Grotere economie</w:t>
            </w:r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  ➡  </w:t>
            </w: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Kortere afstand</w:t>
            </w:r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  ➡  </w:t>
            </w: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Zelfde handelsblok</w:t>
            </w:r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  ➡  </w:t>
            </w: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Meer handel</w:t>
            </w:r>
          </w:p>
        </w:tc>
      </w:tr>
    </w:tbl>
    <w:p>
      <w:pPr>
        <w:spacing w:after="8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single" w:color="1A5276" w:sz="4"/>
              <w:right w:val="none" w:color="FFFFFF" w:sz="0"/>
            </w:tcBorders>
            <w:tcMar>
              <w:top w:type="dxa" w:w="4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▶  </w:t>
            </w:r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Arbeidsmigratie</w:t>
            </w:r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   —   Effect op lonen en werkgelegenheid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1A5276" w:sz="6"/>
              <w:left w:val="single" w:color="EBF5FB" w:sz="1"/>
              <w:bottom w:val="single" w:color="EBF5FB" w:sz="1"/>
              <w:right w:val="single" w:color="EBF5FB" w:sz="1"/>
            </w:tcBorders>
            <w:shd w:fill="EBF5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Immigratie</w:t>
            </w:r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  ➡  </w:t>
            </w: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Arbeidsaanbod ↑</w:t>
            </w:r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  ➡  </w:t>
            </w: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Loon ↓</w:t>
            </w:r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  ➡  </w:t>
            </w: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Werkgelegenheid ↑</w:t>
            </w:r>
          </w:p>
        </w:tc>
      </w:tr>
    </w:tbl>
    <w:p>
      <w:pPr>
        <w:spacing w:after="8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Kernles: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Kleinere landen handelen relatief meer. Rotterdam is groot door ligging + achterland + EU + infrastructuur. Arbeidsmigratie vergroot het aanbod en drukt lonen.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2026-03-23T20:50:43.217Z</dcterms:created>
  <dcterms:modified xsi:type="dcterms:W3CDTF">2026-03-23T20:50:43.218Z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