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Inter-industriele handel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Verrijkingsopgaven</w:t>
      </w:r>
    </w:p>
    <w:p>
      <w:pPr>
        <w:spacing w:after="400"/>
      </w:pPr>
    </w:p>
    <w:p>
      <w:r>
        <w:br w:type="page"/>
      </w: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In Duitsland worden 300 auto’s gevraagd en 10.000 printers. In Japan is er behoefte aan 30.000 printers en 700 auto’s.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land heeft een comparatief voordeel in het produceren van auto’s?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Hoeveel produceren Japan en Duitsland als ze zich specialiseren in productie op basis van hun comparatieve kostenvoordeel?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Bepaal de ruilverhouding waarbij in beide landen aan de binnenlandse vraag wordt voldaan.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Ligt de ruilverhouding bij vraag c tussen de twee ruilverhoudingen in autarkie? Verklaar je antwoord.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Beide landen specialiseren zich en de totale productie blijft gelijk.</w:t>
            </w:r>
          </w:p>
        </w:tc>
      </w:tr>
    </w:tbl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a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opofferingskosten van een straaljager in elk land.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b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Welk land zal zich specialiseren in de productie van straaljagers? Verklaar je antwoord met behulp van het begrip comparatief voordeel.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c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met de gegevens in bron 4 dat beide landen hier voordeel bij hebben.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d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Bereken de besparing in arbeidsuren.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keepNext w:val="false"/>
        <w:spacing w:after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e  </w:t>
      </w:r>
      <w:r>
        <w:rPr>
          <w:rFonts w:ascii="Arial" w:cs="Arial" w:eastAsia="Arial" w:hAnsi="Arial"/>
          <w:color w:val="2D3748"/>
          <w:sz w:val="22"/>
          <w:szCs w:val="22"/>
        </w:rPr>
        <w:t xml:space="preserve">Verklaar dat landen kunnen besluiten om beide producten toch zelf te produceren, ondanks de besparing in arbeidsuren bij handel.</w:t>
      </w: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pBdr>
          <w:bottom w:val="single" w:color="CBD5E0" w:sz="1" w:space="1"/>
        </w:pBdr>
        <w:spacing w:after="0"/>
      </w:pPr>
      <w:r>
        <w:rPr>
          <w:rFonts w:ascii="Arial" w:cs="Arial" w:eastAsia="Arial" w:hAnsi="Arial"/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Oefening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B" w:sz="1"/>
              <w:left w:val="single" w:color="1A5276" w:sz="12"/>
              <w:bottom w:val="single" w:color="EBF5FB" w:sz="1"/>
              <w:right w:val="single" w:color="EBF5FB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keepNext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📖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>Mogelijke antwoorden: (1) Transactiekosten omvatten niet alleen vervoer maar ook communicatie-, compliance-, en documentatiekosten die nog steeds aanzienlijk zijn.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(2) Handelsbarriëres zoals invoertarieven en quota beperken de mogelijkheden voor vrije ruilhandel.</w:t>
            </w:r>
          </w:p>
          <w:p>
            <w:pPr>
              <w:keepNext/>
            </w:pPr>
            <w:r>
              <w:rPr>
                <w:rFonts w:ascii="Arial" w:cs="Arial" w:eastAsia="Arial" w:hAnsi="Arial"/>
                <w:color w:val="1A5276"/>
                <w:sz w:val="22"/>
                <w:szCs w:val="22"/>
              </w:rPr>
              <w:t xml:space="preserve">(3) Geografische afstand en politieke risico's kunnen handelsrelaties bemoeilijken. (4) Non-tariff barriers zoals kwaliteitsvereisten en sanitaire controles verhogen de kosten.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Inter-industriele handel — Verrijkingsopgaven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2026-03-23T21:15:04.764Z</dcterms:created>
  <dcterms:modified xsi:type="dcterms:W3CDTF">2026-03-23T21:15:04.764Z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