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3.4.3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Intra-industriële handel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BF5FB"/>
                <w:sz w:val="22"/>
                <w:szCs w:val="22"/>
              </w:rPr>
              <w:t xml:space="preserve">Handel binnen dezelfde industrie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Inter vs. intra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Twee soorten internationale handel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Inter-industriële handel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Verschillende producten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NL: bloemen ↔ DE: auto's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Drijfveer: comparatief voordeel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Intra-industriële handel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Zelfde soort producten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NL: Gazelle ↔ DE: Cube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Drijfveer: differentiatie + schaal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⚙️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Drie drijfveren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Waarom importeren EN exporteren landen auto's?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150"/>
        <w:gridCol w:w="3388"/>
        <w:gridCol w:w="150"/>
        <w:gridCol w:w="3388"/>
      </w:tblGrid>
      <w:tr>
        <w:tc>
          <w:tcPr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Productdifferentiatie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Honderden varianten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Merken, modellen, smaken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Geen land maakt alles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Schaalvoordelen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Grote fabrieken = lagere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kosten per stuk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Niet elk land eigen fabriek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Lage transactiekosten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EU: geen invoertarieven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Goede infrastructuur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Digitale communicatie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D9534F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D9534F"/>
                <w:sz w:val="24"/>
                <w:szCs w:val="24"/>
              </w:rPr>
              <w:t xml:space="preserve">Buitenlandse toetreder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Monopolie wordt Cournotduopolie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Monopolie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Buitenlandse concurrent treedt toe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Cournotduopolie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Prijs ↓ + Hoeveelheid ↑ + CS ↑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Effect van de euro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Drie manieren waarop de euro handel bevordert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150"/>
        <w:gridCol w:w="3388"/>
        <w:gridCol w:w="150"/>
        <w:gridCol w:w="3388"/>
      </w:tblGrid>
      <w:tr>
        <w:tc>
          <w:tcPr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Geen wisselkoersrisico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Geen koersschommelingen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Zekerheid voor exporteurs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Geen omwisselkosten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Geen bankkosten bij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grensoverschrijdend betalen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Prijstransparantie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Prijzen direct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vergelijkbaar in €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2026-03-23T20:50:43.262Z</dcterms:created>
  <dcterms:modified xsi:type="dcterms:W3CDTF">2026-03-23T20:50:43.262Z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