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Hoe pak je deze les aan?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Een wegwijzer door het lesmateriaal</w:t>
      </w:r>
    </w:p>
    <w:p>
      <w:pP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Voor elke les krijg je een map met verschillende bestanden.</w:t>
      </w:r>
    </w:p>
    <w:p>
      <w:pPr>
        <w:spacing w:after="120"/>
        <w:jc w:val="center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Niet alles is voor iedereen op dezelfde manier nodig.</w:t>
      </w:r>
    </w:p>
    <w:p>
      <w:pPr>
        <w:spacing w:after="200"/>
        <w:jc w:val="center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Kies bewust wat jij nodig hebt om de stof goed te begrijpen en te oefenen.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Leeswijzer: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Dit document legt uit welke bestanden er in elke paragraafmap zitten en hoe je ze het beste kunt gebruiken.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Wat zit er in elke paragraafmap?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Elke paragraaf bevat de volgende bestanden. Hieronder zie je wat elk bestand doet.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5426"/>
      </w:tblGrid>
      <w:tr>
        <w:tc>
          <w:tcPr>
            <w:tcW w:type="dxa" w:w="4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Bestand</w:t>
            </w:r>
          </w:p>
        </w:tc>
        <w:tc>
          <w:tcPr>
            <w:tcW w:type="dxa" w:w="5426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zit erin?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▶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Presentatie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PowerPoint met de belangrijkste uitleg van de les. Dit is je startpunt.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▶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Uitleg vaardigheden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Word-document met uitgebreide, stap-voor-stap uitleg van de vaardigheden in de paragraaf.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▶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Uitleg voorkennis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Uitleg van basiskennis die je nodig hebt voordat je aan de opgaven begint.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❓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Instapquiz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Korte interactieve quiz om te checken of je de voorkennis paraat hebt.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▶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Basisopgaven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Map met de standaard opgavenset: vragen + antwoorden.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▶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Middenopgaven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Map met een kortere opgavenset gericht op de kerndoelen.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▶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Verrijkingsopgaven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Map met compactere maar uitdagendere opgaven.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▶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Begeleide inoefening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Map met opgaven aangevuld met denkstappen, hints en formuleherinneringen.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▶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Nieuws met visual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Actueel nieuwsbericht met verwerkingsopdrachten.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▶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YouTube-video’s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Links naar uitlegvideo’s van docenten over hetzelfde onderwerp.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In vijf stappen door de les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Hieronder staat een handig stappenplan. Je hoeft niet altijd alle stappen te doorlopen — kies wat bij jou past.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6"/>
                <w:szCs w:val="26"/>
              </w:rPr>
              <w:t xml:space="preserve">Begin met de uitleg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718096"/>
                <w:sz w:val="20"/>
                <w:szCs w:val="20"/>
              </w:rPr>
              <w:t xml:space="preserve">Presentatie + vaardigheden-document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Open de </w:t>
      </w: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presentatie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(PowerPoint). Daarin staan de kernpunten van de les visueel samengevat. Wil je meer toelichting, lees dan ook het </w:t>
      </w: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uitleg vaardigheden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-document. Daarin wordt de stof uitgebreider en stap voor stap uitgelegd.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presentatie geeft het overzicht, het vaardigheden-document geeft de diepgang. Samen vormen ze de volledige uitleg.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6"/>
                <w:szCs w:val="26"/>
              </w:rPr>
              <w:t xml:space="preserve">Kies een opgavenset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718096"/>
                <w:sz w:val="20"/>
                <w:szCs w:val="20"/>
              </w:rPr>
              <w:t xml:space="preserve">Drie routes om mee te oefenen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Na de uitleg ga je oefenen. Kies de opgavenset die het beste aansluit bij wat jij nodig hebt. Je hoeft niet dezelfde set te kiezen als iemand anders.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3610"/>
        <w:gridCol w:w="3430"/>
      </w:tblGrid>
      <w:tr>
        <w:tc>
          <w:tcPr>
            <w:tcW w:type="dxa" w:w="1986"/>
            <w:tcBorders>
              <w:top w:val="single" w:color="E67E22" w:sz="1"/>
              <w:left w:val="single" w:color="E67E22" w:sz="1"/>
              <w:bottom w:val="single" w:color="E67E22" w:sz="2"/>
              <w:right w:val="single" w:color="E67E22" w:sz="1"/>
            </w:tcBorders>
            <w:shd w:fill="E67E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Opgavenset</w:t>
            </w:r>
          </w:p>
        </w:tc>
        <w:tc>
          <w:tcPr>
            <w:tcW w:type="dxa" w:w="3610"/>
            <w:tcBorders>
              <w:top w:val="single" w:color="E67E22" w:sz="1"/>
              <w:left w:val="single" w:color="E67E22" w:sz="1"/>
              <w:bottom w:val="single" w:color="E67E22" w:sz="2"/>
              <w:right w:val="single" w:color="E67E22" w:sz="1"/>
            </w:tcBorders>
            <w:shd w:fill="E67E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is het?</w:t>
            </w:r>
          </w:p>
        </w:tc>
        <w:tc>
          <w:tcPr>
            <w:tcW w:type="dxa" w:w="3430"/>
            <w:tcBorders>
              <w:top w:val="single" w:color="E67E22" w:sz="1"/>
              <w:left w:val="single" w:color="E67E22" w:sz="1"/>
              <w:bottom w:val="single" w:color="E67E22" w:sz="2"/>
              <w:right w:val="single" w:color="E67E22" w:sz="1"/>
            </w:tcBorders>
            <w:shd w:fill="E67E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Wanneer kiezen?</w:t>
            </w:r>
          </w:p>
        </w:tc>
      </w:tr>
      <w:tr>
        <w:tc>
          <w:tcPr>
            <w:tcW w:type="dxa" w:w="198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Basisopgaven</w:t>
            </w:r>
          </w:p>
        </w:tc>
        <w:tc>
          <w:tcPr>
            <w:tcW w:type="dxa" w:w="36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 standaard opgavenset met de volledige hoeveelheid opgaven. Geschikt voor iedereen.</w:t>
            </w:r>
          </w:p>
        </w:tc>
        <w:tc>
          <w:tcPr>
            <w:tcW w:type="dxa" w:w="3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20"/>
                <w:szCs w:val="20"/>
              </w:rPr>
              <w:t xml:space="preserve">Start hiermee als je geen specifieke reden hebt om een andere set te kiezen.</w:t>
            </w:r>
          </w:p>
        </w:tc>
      </w:tr>
      <w:tr>
        <w:tc>
          <w:tcPr>
            <w:tcW w:type="dxa" w:w="198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Middenopgaven</w:t>
            </w:r>
          </w:p>
        </w:tc>
        <w:tc>
          <w:tcPr>
            <w:tcW w:type="dxa" w:w="36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Een kortere set die zich richt op de belangrijkste lesdoelen. Minder opgaven, dezelfde onderwerpen.</w:t>
            </w:r>
          </w:p>
        </w:tc>
        <w:tc>
          <w:tcPr>
            <w:tcW w:type="dxa" w:w="3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20"/>
                <w:szCs w:val="20"/>
              </w:rPr>
              <w:t xml:space="preserve">Handig als je efficiënt wilt oefenen en gericht wilt werken aan de kerndoelen.</w:t>
            </w:r>
          </w:p>
        </w:tc>
      </w:tr>
      <w:tr>
        <w:tc>
          <w:tcPr>
            <w:tcW w:type="dxa" w:w="198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Verrijkingsopgaven</w:t>
            </w:r>
          </w:p>
        </w:tc>
        <w:tc>
          <w:tcPr>
            <w:tcW w:type="dxa" w:w="36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Een compacte set met uitdagendere opgaven. Vraagt om dieper nadenken en toepassen in nieuwe contexten.</w:t>
            </w:r>
          </w:p>
        </w:tc>
        <w:tc>
          <w:tcPr>
            <w:tcW w:type="dxa" w:w="3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18096"/>
                <w:sz w:val="20"/>
                <w:szCs w:val="20"/>
              </w:rPr>
              <w:t xml:space="preserve">Kies deze als je op zoek bent naar extra verdieping.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Kies niet automatisch de langste set. Kies de set waarmee jij het beste aan de lesdoelen werkt.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6"/>
                <w:szCs w:val="26"/>
              </w:rPr>
              <w:t xml:space="preserve">Gebruik de begeleide inoefening als je vastloopt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718096"/>
                <w:sz w:val="20"/>
                <w:szCs w:val="20"/>
              </w:rPr>
              <w:t xml:space="preserve">Opgaven met denkstappen en hints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de map </w:t>
      </w: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begeleide inoefening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vind je dezelfde opgaven als in de basisset, maar dan aangevuld met hulp: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6226"/>
      </w:tblGrid>
      <w:tr>
        <w:tc>
          <w:tcPr>
            <w:tcW w:type="dxa" w:w="400"/>
            <w:tcBorders>
              <w:top w:val="single" w:color="FFF8E1" w:sz="1"/>
              <w:left w:val="single" w:color="FFF8E1" w:sz="1"/>
              <w:bottom w:val="single" w:color="FFF8E1" w:sz="1"/>
              <w:right w:val="single" w:color="FFF8E1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▶</w:t>
            </w:r>
          </w:p>
        </w:tc>
        <w:tc>
          <w:tcPr>
            <w:tcW w:type="dxa" w:w="2400"/>
            <w:tcBorders>
              <w:top w:val="single" w:color="FFF8E1" w:sz="1"/>
              <w:left w:val="single" w:color="FFF8E1" w:sz="1"/>
              <w:bottom w:val="single" w:color="FFF8E1" w:sz="1"/>
              <w:right w:val="single" w:color="FFF8E1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Denkstappen</w:t>
            </w:r>
          </w:p>
        </w:tc>
        <w:tc>
          <w:tcPr>
            <w:tcW w:type="dxa" w:w="6226"/>
            <w:tcBorders>
              <w:top w:val="single" w:color="FFF8E1" w:sz="1"/>
              <w:left w:val="single" w:color="FFF8E1" w:sz="1"/>
              <w:bottom w:val="single" w:color="FFF8E1" w:sz="1"/>
              <w:right w:val="single" w:color="FFF8E1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Genummerde stappen die je door de opgave leiden</w:t>
            </w:r>
          </w:p>
        </w:tc>
      </w:tr>
      <w:tr>
        <w:tc>
          <w:tcPr>
            <w:tcW w:type="dxa" w:w="400"/>
            <w:tcBorders>
              <w:top w:val="single" w:color="FFF8E1" w:sz="1"/>
              <w:left w:val="single" w:color="FFF8E1" w:sz="1"/>
              <w:bottom w:val="single" w:color="FFF8E1" w:sz="1"/>
              <w:right w:val="single" w:color="FFF8E1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▶</w:t>
            </w:r>
          </w:p>
        </w:tc>
        <w:tc>
          <w:tcPr>
            <w:tcW w:type="dxa" w:w="2400"/>
            <w:tcBorders>
              <w:top w:val="single" w:color="FFF8E1" w:sz="1"/>
              <w:left w:val="single" w:color="FFF8E1" w:sz="1"/>
              <w:bottom w:val="single" w:color="FFF8E1" w:sz="1"/>
              <w:right w:val="single" w:color="FFF8E1" w:sz="1"/>
            </w:tcBorders>
            <w:shd w:fill="FFF3C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Hints</w:t>
            </w:r>
          </w:p>
        </w:tc>
        <w:tc>
          <w:tcPr>
            <w:tcW w:type="dxa" w:w="6226"/>
            <w:tcBorders>
              <w:top w:val="single" w:color="FFF8E1" w:sz="1"/>
              <w:left w:val="single" w:color="FFF8E1" w:sz="1"/>
              <w:bottom w:val="single" w:color="FFF8E1" w:sz="1"/>
              <w:right w:val="single" w:color="FFF8E1" w:sz="1"/>
            </w:tcBorders>
            <w:shd w:fill="FFF3C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Korte aanwijzingen die je op weg helpen</w:t>
            </w:r>
          </w:p>
        </w:tc>
      </w:tr>
      <w:tr>
        <w:tc>
          <w:tcPr>
            <w:tcW w:type="dxa" w:w="400"/>
            <w:tcBorders>
              <w:top w:val="single" w:color="FFF8E1" w:sz="1"/>
              <w:left w:val="single" w:color="FFF8E1" w:sz="1"/>
              <w:bottom w:val="single" w:color="FFF8E1" w:sz="1"/>
              <w:right w:val="single" w:color="FFF8E1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▶</w:t>
            </w:r>
          </w:p>
        </w:tc>
        <w:tc>
          <w:tcPr>
            <w:tcW w:type="dxa" w:w="2400"/>
            <w:tcBorders>
              <w:top w:val="single" w:color="FFF8E1" w:sz="1"/>
              <w:left w:val="single" w:color="FFF8E1" w:sz="1"/>
              <w:bottom w:val="single" w:color="FFF8E1" w:sz="1"/>
              <w:right w:val="single" w:color="FFF8E1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Formuleherinneringen</w:t>
            </w:r>
          </w:p>
        </w:tc>
        <w:tc>
          <w:tcPr>
            <w:tcW w:type="dxa" w:w="6226"/>
            <w:tcBorders>
              <w:top w:val="single" w:color="FFF8E1" w:sz="1"/>
              <w:left w:val="single" w:color="FFF8E1" w:sz="1"/>
              <w:bottom w:val="single" w:color="FFF8E1" w:sz="1"/>
              <w:right w:val="single" w:color="FFF8E1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 formules die je nodig hebt voor die specifieke vraag</w:t>
            </w:r>
          </w:p>
        </w:tc>
      </w:tr>
      <w:tr>
        <w:tc>
          <w:tcPr>
            <w:tcW w:type="dxa" w:w="400"/>
            <w:tcBorders>
              <w:top w:val="single" w:color="FFF8E1" w:sz="1"/>
              <w:left w:val="single" w:color="FFF8E1" w:sz="1"/>
              <w:bottom w:val="single" w:color="FFF8E1" w:sz="1"/>
              <w:right w:val="single" w:color="FFF8E1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✎</w:t>
            </w:r>
          </w:p>
        </w:tc>
        <w:tc>
          <w:tcPr>
            <w:tcW w:type="dxa" w:w="2400"/>
            <w:tcBorders>
              <w:top w:val="single" w:color="FFF8E1" w:sz="1"/>
              <w:left w:val="single" w:color="FFF8E1" w:sz="1"/>
              <w:bottom w:val="single" w:color="FFF8E1" w:sz="1"/>
              <w:right w:val="single" w:color="FFF8E1" w:sz="1"/>
            </w:tcBorders>
            <w:shd w:fill="FFF3C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Invulformaten</w:t>
            </w:r>
          </w:p>
        </w:tc>
        <w:tc>
          <w:tcPr>
            <w:tcW w:type="dxa" w:w="6226"/>
            <w:tcBorders>
              <w:top w:val="single" w:color="FFF8E1" w:sz="1"/>
              <w:left w:val="single" w:color="FFF8E1" w:sz="1"/>
              <w:bottom w:val="single" w:color="FFF8E1" w:sz="1"/>
              <w:right w:val="single" w:color="FFF8E1" w:sz="1"/>
            </w:tcBorders>
            <w:shd w:fill="FFF3C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Deels ingevulde berekeningen die je zelf afmaakt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Er zijn twee versies: </w:t>
      </w: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Vragen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(om zelf te maken) en </w:t>
      </w: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Vragen &amp; Antwoorden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(om je werk te controleren of als je er echt niet uitkomt). Probeer altijd eerst zelf de vraag te beantwoorden.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begeleide inoefening bouwt de hulp geleidelijk af: bij de eerste opgaven krijg je veel ondersteuning, bij de laatste werk je zelfstandig. Zo bouw je stap voor stap je zelfvertrouwen op.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6"/>
                <w:szCs w:val="26"/>
              </w:rPr>
              <w:t xml:space="preserve">Mis je voorkennis? Werk die eerst bij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718096"/>
                <w:sz w:val="20"/>
                <w:szCs w:val="20"/>
              </w:rPr>
              <w:t xml:space="preserve">Quiz + voorkennis-document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Merk je dat je bepaalde basisvaardigheden mist — bijvoorbeeld rekenen met formules of grafieken lezen — begin dan met de </w:t>
      </w: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instapquiz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. Die laat snel zien wat je al weet en waar de hiaten zitten.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Scoor je op bepaalde onderdelen nog niet zo hoog? Open dan het </w:t>
      </w: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uitleg voorkennis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-document. Daarin worden de basisvaardigheden uitgelegd die je nodig hebt om de lesopgaven goed te kunnen maken.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Onthoud: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is slim om hiaten in je voorkennis eerst aan te pakken. Dat scheelt frustratie bij de opgaven.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6"/>
                <w:szCs w:val="26"/>
              </w:rPr>
              <w:t xml:space="preserve">Gebruik extra materiaal als dat jou helpt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718096"/>
                <w:sz w:val="20"/>
                <w:szCs w:val="20"/>
              </w:rPr>
              <w:t xml:space="preserve">Nieuws, video’s en meer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de map staat ook extra materiaal dat je kunt gebruiken wanneer je dat nuttig vindt: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426"/>
      </w:tblGrid>
      <w:tr>
        <w:tc>
          <w:tcPr>
            <w:tcW w:type="dxa" w:w="400"/>
            <w:tcBorders>
              <w:top w:val="single" w:color="E8F8F0" w:sz="1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▶</w:t>
            </w:r>
          </w:p>
        </w:tc>
        <w:tc>
          <w:tcPr>
            <w:tcW w:type="dxa" w:w="2200"/>
            <w:tcBorders>
              <w:top w:val="single" w:color="E8F8F0" w:sz="1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Nieuws met visual</w:t>
            </w:r>
          </w:p>
        </w:tc>
        <w:tc>
          <w:tcPr>
            <w:tcW w:type="dxa" w:w="6426"/>
            <w:tcBorders>
              <w:top w:val="single" w:color="E8F8F0" w:sz="1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Een actueel nieuwsbericht met verwerkingsopgaven. Hiermee zie je hoe de lesstof samenhangt met wat er in de wereld gebeurt.</w:t>
            </w:r>
          </w:p>
        </w:tc>
      </w:tr>
      <w:tr>
        <w:tc>
          <w:tcPr>
            <w:tcW w:type="dxa" w:w="400"/>
            <w:tcBorders>
              <w:top w:val="single" w:color="E8F8F0" w:sz="1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▶</w:t>
            </w:r>
          </w:p>
        </w:tc>
        <w:tc>
          <w:tcPr>
            <w:tcW w:type="dxa" w:w="2200"/>
            <w:tcBorders>
              <w:top w:val="single" w:color="E8F8F0" w:sz="1"/>
              <w:left w:val="single" w:color="E8F8F0" w:sz="1"/>
              <w:bottom w:val="single" w:color="E8F8F0" w:sz="1"/>
              <w:right w:val="single" w:color="E8F8F0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YouTube-video’s</w:t>
            </w:r>
          </w:p>
        </w:tc>
        <w:tc>
          <w:tcPr>
            <w:tcW w:type="dxa" w:w="6426"/>
            <w:tcBorders>
              <w:top w:val="single" w:color="E8F8F0" w:sz="1"/>
              <w:left w:val="single" w:color="E8F8F0" w:sz="1"/>
              <w:bottom w:val="single" w:color="E8F8F0" w:sz="1"/>
              <w:right w:val="single" w:color="E8F8F0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Links naar uitlegvideo’s van docenten over hetzelfde onderwerp. Handig als je de stof op een andere manier uitgelegd wilt zien.</w:t>
            </w:r>
          </w:p>
        </w:tc>
      </w:tr>
    </w:tbl>
    <w:p>
      <w:pPr>
        <w:spacing w:after="2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Samengevat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■ Jouw route door de les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Stap 1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Bekijk de presentatie en lees eventueel het vaardigheden-document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Stap 2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Kies een opgavenset: basis, midden of verrijking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Stap 3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Loop je vast? Pak de begeleide inoefening met denkstappen en hints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Stap 4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Mis je voorkennis? Doe eerst de instapquiz en lees het voorkennis-document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Stap 5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Gebruik nieuws en video’s voor extra context en herhaling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Onthoud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Kies niet de langste set, maar de set die past bij wat jij nodig hebt</w:t>
            </w:r>
          </w:p>
        </w:tc>
      </w:tr>
    </w:tbl>
    <w:p>
      <w:pP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Succes met de les!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Praktische Economie — Module 3: Markt en overheid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2026-03-23T10:03:40.820Z</dcterms:created>
  <dcterms:modified xsi:type="dcterms:W3CDTF">2026-03-23T10:03:40.821Z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