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3.4.5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Internationaal handelsbeleid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Vrijhandel, protectie en de gevolgen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⚖️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Vrijhandel vs. protectie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Twee tegengestelde benaderingen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Vrijhandel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invoertarieven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Maximale concurrentie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Hogere welvaart totaal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Protectie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Invoerrechten / quota's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Beschermt eigen industrie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Lagere welvaart totaal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Effect invoerrecht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Stap voor stap: wat gebeurt er bij een tarief?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Invoerrecht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Kosten buitenlander ↑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Prijs ↑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Binnenlands aanbod ↑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Winnaars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Binnenlandse producent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Overheid (belastingopbrengst)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Verliezers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Consument (hogere prijs)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Buitenlandse producent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Totaal surplus daalt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Wisselkoers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Vraag en aanbod op de valutamarkt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86A3B"/>
                <w:sz w:val="20"/>
                <w:szCs w:val="20"/>
              </w:rPr>
              <w:t xml:space="preserve">Meer aanbod munt → koers ↓  |  Meer vraag munt → koers 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Manipulatie: overheid drukt munt omlaag → export goedkoper → oneerlijke concurrentie</w:t>
            </w:r>
          </w:p>
        </w:tc>
      </w:tr>
    </w:tbl>
    <w:p>
      <w:pPr>
        <w:spacing w:after="7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▶️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Beleidsinstrumenten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Overzicht handelsmaatregelen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Werking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Invoerrecht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Belasting op import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Prijs ↑, import ↓</w:t>
            </w:r>
          </w:p>
        </w:tc>
      </w:tr>
      <w:tr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Quotum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Maximumhoeveelheid import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Aanbod beperkt</w:t>
            </w:r>
          </w:p>
        </w:tc>
      </w:tr>
      <w:tr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Handelsverdrag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Barrières verlagen (EU, WTO)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Meer handel</w:t>
            </w:r>
          </w:p>
        </w:tc>
      </w:tr>
      <w:tr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19"/>
                <w:szCs w:val="19"/>
              </w:rPr>
              <w:t xml:space="preserve">Wisselkoersmanipulatie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Eigen munt verzwakken</w:t>
            </w:r>
          </w:p>
        </w:tc>
        <w:tc>
          <w:tcPr>
            <w:tcW w:type="dxa" w:w="3488"/>
            <w:tcBorders>
              <w:top w:val="single" w:color="BA6A1C" w:sz="1"/>
              <w:left w:val="single" w:color="BA6A1C" w:sz="1"/>
              <w:bottom w:val="single" w:color="BA6A1C" w:sz="1"/>
              <w:right w:val="single" w:color="BA6A1C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Export goedkoper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2026-03-23T20:50:43.290Z</dcterms:created>
  <dcterms:modified xsi:type="dcterms:W3CDTF">2026-03-23T20:50:43.290Z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