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Internationaal handelsbeleid</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p>
      <w:pPr>
        <w:keepNext/>
        <w:spacing w:after="80"/>
      </w:pPr>
      <w:r>
        <w:rPr>
          <w:rFonts w:ascii="Arial" w:cs="Arial" w:eastAsia="Arial" w:hAnsi="Arial"/>
          <w:color w:val="2D3748"/>
          <w:sz w:val="22"/>
          <w:szCs w:val="22"/>
        </w:rPr>
        <w:t xml:space="preserve">Geef in onderstaand schema bij elke pijl aan of er een positief (+) of negatief (–) verband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‘De kosten van de handelsoorlog tussen China en de VS’.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zal het gevolg van de heffingen zijn geweest voor de Amerikaanse werkgelegenheid in de Amerikaanse wasmachine-industrie?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zal het gevolg van de heffingen zijn geweest voor de Amerikaanse werkgelegenheid in de Amerikaanse economie als geheel?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 xml:space="preserve">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formules van de reactielijnen af voor aanbieder 1 en voor aanbieder 2. Teken de reactielijnen in een grafiek met op de x-as qVS en op de y-as qChina.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prijs en de aangeboden hoeveelheid in het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opnieuw de formules van de reactielijnen af van aanbieder 1 en van aanbieder 2. Teken deze reactielijnen in de grafiek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prijs en aangeboden hoeveelheid. Hoeveel belasting haalt de Amerikaanse regering op?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het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Vergelijk je antwoord bij vraag c met dat bij vraag f. Betrek daarbij de belastingopbrengst. Bespreek de invloed van de invoerrechten op de economische doelmatigheid van de markt in de VS.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een reden voor de VS om invoerrechten in te voeren. Geef ook een reden waarom de VS geen invoerrechten hadden moeten invoeren.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‘CETA: het handelsverdrag tussen de EU en Canada’.</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stijging van de Nederlandse export naar Canada in miljarden euro’s. Rond je antwoord af op één decimaal.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Citeer de zin waaruit blijkt dat de arbeidsmobiliteit tussen Canada en Nederland is gestegen.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Op moment 2 moest 0,004 dollar per yen worden betaald.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Amerikaanse producenten wilden dat de koers van de dollar omlaag ging.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koers op moment 3. Rond af op vier decimalen.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Had de verlaging van de koers van de dollar veel effect op de inter-industriële handel tussen de VS en Japan? Verklaar je antwoord op twee manieren.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voor welk bedrag in dollars er euro’s worden verhandeld op deze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met hoeveel procent hierdoor de koers van de euro in dollars zal dalen.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Was bij een minder elastische vraag naar euro’s de koersverandering door het extra aanbod groter of kleiner geweest?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internationaal Cournotduopolie met wisselkoersmanipulatie’.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de Chinese aanbieder dankzij de wisselkoersmanipulatie zijn kosten in renminbi niet hoeft te verlagen om meer winst in euro’s te maken.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argument waarmee tegenstanders van de wisselkoersmanipulatie kunnen stellen dat er sprake is van oneerlijke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Nederlandse consument op twee manieren profiteert van de wisselkoersmanipulatie.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Internationaal handelsbeleid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2026-03-23T21:15:04.896Z</dcterms:created>
  <dcterms:modified xsi:type="dcterms:W3CDTF">2026-03-23T21:15:04.896Z</dcterms:modified>
</cp:coreProperties>
</file>

<file path=docProps/custom.xml><?xml version="1.0" encoding="utf-8"?>
<Properties xmlns="http://schemas.openxmlformats.org/officeDocument/2006/custom-properties" xmlns:vt="http://schemas.openxmlformats.org/officeDocument/2006/docPropsVTypes"/>
</file>