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Lees bron 2. b</w:t>
              <w:tab/>
              <w:t>Leg uit hoe liberalisering van de wereldhandel kan leiden tot een beperking van de groei van de beloning van laaggeschoolde arbeid in Nederland.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komende jaren wordt een sterke stijging van het arbeidsinkomen van hoogopgeleiden verwacht.</w:t>
              <w:tab/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hoe voortdurende innovatie steeds hogere eisen kan stellen aan de kwaliteit van de productiefactor arbeid.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daarvoor de verklaring met behulp van twee van de gegeven ontwikkelingen in de komende jaren. Gebruik in de verklaring zowel de vraagkant als de aanbodkant van de arbeidsmarkt.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3. Amerika verdient buitenlands geld (zoals euro’s en ponden) met de export van goederen en diensten. Amerika heeft buitenlands geld nodig om de import te kunnen betalen.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het feit dat het totaal in de tabel ($ 3.000 miljard) kleiner is dan het totaal van de wereldhandel ($ 8.000 miljard).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voor de bewering van de economen een verklaring met behulp van de tabel in bron 3.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Verdient Amerika met de export voldoende buitenlands geld om de import te kunnen betalen?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hoe Amerika schuld kan opbouwen bij de gegeven handelsstromen.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 4.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of hier sprake is van inter-industriële of van intra-industriële handel.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waarom Philips bepaalde medische producten voor de Amerikaanse markt in China laat maken en andersom.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invoertarieven ervoor zorgen dat medische apparatuur in de VS duurder wordt. Geef twee oorzaken.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premies voor zorgverzekeringen in de VS als gevolg van de handelsoorlog kunnen stijgen.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Twee buitenlandse exporteurs van buiten de EU handelen allebei met Nederland. Beide hebben langlopende contracten met afnemers waarin de prijzen zijn vastgelegd. Beide worden betaald in euro’s.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 hebben een verschillende verwachting over het wisselkoersrisico: de kans dat veranderingen in de wisselkoers verlies opleveren.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Exporteur A: ‘Ik verwacht een koersverandering ten opzichte van de euro tussen –5% en +25%.’ Exporteur B: ‘Ik verwacht een koersverandering ten opzichte van de euro tussen –35% en +5%.’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nadeliger voor deze exporteurs: een koersstijging of een koersdaling van de eigen munt?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exporteur loopt volgens de eigen inschatting het grootste risico?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 Een andere onderzoeker ziet ook nadelen van de lagere koers van het pond voor de Britse auto-industrie, gerelateerd aan het feit dat de productieketen van auto’s sterk internationaal is.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buitenlandse auto’s door de wisselkoersdaling van het Britse pond voor de Britten duurder worden.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 de lagere koers van het pond de Britse auto-industrie bevoordelen?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Bedenk een nadeel dat deze onderzoeker kan bedoelen.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Groot-Brittannië auto’s importeert uit onder meer Duitsland en Frankrijk, terwijl het land ook zelf auto’s produceert (en exporteert).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Citeer de zin die aangeeft dat de transactiekosten stijgen na een harde Brexit.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 zal BMW de meeste Mini’s verkopen: in het VK of in de EU?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6. Randstad haalde een omzet van $ 6,08 miljard in de VS. De euro-dollarkoers was in 2018 gemiddeld € 0,90 per dollar.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Heineken kan besluiten minder te exporteren naar de VS als de euro-dollarkoers stijgt.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dit besluit anders kan uitvallen als de vraag naar Heinekenbier in de VS inelastisch reageert op een prijsverhoging.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zijn wisselkoersrisico’s alleen op korte termijn te verzekeren?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ASML ondanks zijn ‘ijzersterke positie’ toch last kan hebben van een stijging van de euro-dollarkoers.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met behulp van de tabel in bron 6 de totale omzet van Randstad in euro’s. Module-opdrachten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2026-03-23T21:15:05.026Z</dcterms:created>
  <dcterms:modified xsi:type="dcterms:W3CDTF">2026-03-23T21:15:05.026Z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