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Naar het examen</w:t>
      </w:r>
    </w:p>
    <w:p>
      <w:pPr>
        <w:spacing w:after="40"/>
        <w:jc w:val="center"/>
      </w:pPr>
      <w:r>
        <w:rPr>
          <w:rFonts w:ascii="Arial" w:cs="Arial" w:eastAsia="Arial" w:hAnsi="Arial"/>
          <w:color w:val="718096"/>
          <w:sz w:val="26"/>
          <w:szCs w:val="26"/>
        </w:rPr>
        <w:t xml:space="preserve">Verrijkingsopgaven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w:t>
            </w:r>
            <w:r>
              <w:rPr>
                <w:rFonts w:ascii="Arial" w:cs="Arial" w:eastAsia="Arial" w:hAnsi="Arial"/>
                <w:color w:val="2D3748"/>
                <w:sz w:val="22"/>
                <w:szCs w:val="22"/>
              </w:rPr>
              <w:t xml:space="preserve">Uitgebreide examenvragen met meerdere deelvragen. Deze vragen vereisen analyse, synthese en evaluatie op hoog niveau.</w:t>
            </w:r>
          </w:p>
        </w:tc>
      </w:tr>
    </w:tbl>
    <w:p>
      <w:pPr>
        <w:spacing w:after="400"/>
      </w:pPr>
    </w:p>
    <w:p>
      <w:r>
        <w:br w:type="page"/>
      </w:r>
    </w:p>
    <w:p>
      <w:pPr>
        <w:pStyle w:val="Heading2"/>
        <w:spacing w:after="120" w:before="200"/>
      </w:pPr>
      <w:r>
        <w:rPr>
          <w:rFonts w:ascii="Arial" w:cs="Arial" w:eastAsia="Arial" w:hAnsi="Arial"/>
          <w:b/>
          <w:bCs/>
          <w:color w:val="E67E22"/>
          <w:sz w:val="24"/>
          <w:szCs w:val="24"/>
        </w:rPr>
        <w:t xml:space="preserve">Opgave 1 — De Nederlandse telecommarkt (14p)</w:t>
      </w:r>
    </w:p>
    <w:p>
      <w:pPr>
        <w:spacing w:after="120"/>
      </w:pPr>
      <w:r>
        <w:rPr>
          <w:rFonts w:ascii="Arial" w:cs="Arial" w:eastAsia="Arial" w:hAnsi="Arial"/>
          <w:color w:val="2D3748"/>
          <w:sz w:val="22"/>
          <w:szCs w:val="22"/>
        </w:rPr>
        <w:t xml:space="preserve">De Nederlandse telecommarkt wordt gedomineerd door drie grote aanbieders: KPN, T-Mobile en Vodafone. Samen hebben zij circa 85% marktaandeel. Daarnaast zijn er kleinere aanbieders zoals Tele2 en budget-merken.</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Beredeneer bij welke marktvorm de telecommarkt past. Gebruik ten minste drie kenmerken.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KPN overweegt een prijsverlaging. De marktaandelen zijn: KPN 40%, T-Mobile 25%, Vodafone 20%, overig (5 aanbieders) 15%. Bereken de HHI vóór en na een hypothetische fusie van T-Mobile en Vodafone.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waarom een prisoners’ dilemma kan ontstaan als KPN zijn prijs verlaagt. Gebruik een concrete rekenvoorbeeld.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De vraag naar mobiele abonnementen is: Qv = 20 – 0,5P (in miljoenen). De aanbodcurve is: Qa = –4 + 0,25P. De overheid subsidieert mobiel internet voor onderwijsdoeleinden met €6 per abonnement. Bereken het effect op prijs, hoeveelheid en de totale kosten voor de overheid.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Beoordeel of de subsidie uit deelvraag d efficiënt is. Gebruik de begrippen positief extern effect, consumentensurplus en overheidsuitgaven.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200"/>
      </w:pPr>
    </w:p>
    <w:p>
      <w:pPr>
        <w:pStyle w:val="Heading2"/>
        <w:spacing w:after="120" w:before="200"/>
      </w:pPr>
      <w:r>
        <w:rPr>
          <w:rFonts w:ascii="Arial" w:cs="Arial" w:eastAsia="Arial" w:hAnsi="Arial"/>
          <w:b/>
          <w:bCs/>
          <w:color w:val="1E8449"/>
          <w:sz w:val="24"/>
          <w:szCs w:val="24"/>
        </w:rPr>
        <w:t xml:space="preserve">Opgave 2 — Klimaatbeleid en marktwerking (12p)</w:t>
      </w:r>
    </w:p>
    <w:p>
      <w:pPr>
        <w:spacing w:after="120"/>
      </w:pPr>
      <w:r>
        <w:rPr>
          <w:rFonts w:ascii="Arial" w:cs="Arial" w:eastAsia="Arial" w:hAnsi="Arial"/>
          <w:color w:val="2D3748"/>
          <w:sz w:val="22"/>
          <w:szCs w:val="22"/>
        </w:rPr>
        <w:t xml:space="preserve">De Europese Unie heeft een CO₂-emissiehandelssysteem (ETS) ingevoerd. Bedrijven moeten emissierechten kopen om CO₂ uit te stoten. De prijs van een emissierecht is momenteel €90 per ton CO₂.</w:t>
      </w:r>
    </w:p>
    <w:p>
      <w:pPr>
        <w:spacing w:after="4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hoe het ETS-systeem werkt als instrument om een negatief extern effect te internaliseren. Gebruik een vraag-en-aanbodmodel.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jc w:val="right"/>
      </w:pPr>
      <w:r>
        <w:rPr>
          <w:rFonts w:ascii="Arial" w:cs="Arial" w:eastAsia="Arial" w:hAnsi="Arial"/>
          <w:b/>
          <w:bCs/>
          <w:i/>
          <w:iCs/>
          <w:color w:val="718096"/>
          <w:sz w:val="20"/>
          <w:szCs w:val="20"/>
        </w:rPr>
        <w:t xml:space="preserve">4p</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staalindustrie heeft de volgende privé-aanbodfunctie: Qa = –200 + 5P. De vraag is: Qv = 800 – 2P. Elke eenheid staal veroorzaakt 2 ton CO₂-uitstoot. Bereken: (1) het marktevenwicht zonder ETS, (2) het evenwicht met ETS (€90/ton), en (3) de daling van de CO₂-uitstoot.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Europese staalproducenten klagen dat het ETS hen benadeelt ten opzichte van Chinese concurrenten die geen emissiekosten betalen. Leg dit uit met het begrip comparatief voordeel.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De EU overweegt een Carbon Border Adjustment Mechanism (CBAM): een importheffing op producten uit landen zonder CO₂-prijs. Analyseer de voor- en nadelen met behulp van de begrippen welvaartsverlies, handelswinst en protectie.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200"/>
      </w:pPr>
    </w:p>
    <w:p>
      <w:pPr>
        <w:pStyle w:val="Heading2"/>
        <w:spacing w:after="120" w:before="200"/>
      </w:pPr>
      <w:r>
        <w:rPr>
          <w:rFonts w:ascii="Arial" w:cs="Arial" w:eastAsia="Arial" w:hAnsi="Arial"/>
          <w:b/>
          <w:bCs/>
          <w:color w:val="1E8449"/>
          <w:sz w:val="24"/>
          <w:szCs w:val="24"/>
        </w:rPr>
        <w:t xml:space="preserve">Opgave 3 — De woningmarkt (11p)</w:t>
      </w:r>
    </w:p>
    <w:p>
      <w:pPr>
        <w:spacing w:after="120"/>
      </w:pPr>
      <w:r>
        <w:rPr>
          <w:rFonts w:ascii="Arial" w:cs="Arial" w:eastAsia="Arial" w:hAnsi="Arial"/>
          <w:color w:val="2D3748"/>
          <w:sz w:val="22"/>
          <w:szCs w:val="22"/>
        </w:rPr>
        <w:t xml:space="preserve">De Nederlandse woningmarkt kent al jaren een tekort aan betaalbare woningen. De vraag naar koopwoningen is: Qv = 1200 – P (in duizenden). Het aanbod: Qa = –300 + 0,5P.</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het evenwicht en het totale surplus (CS + PS).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overheid stelt een overdrachtsbelasting van 8% in (was 2%). Dit verhoogt de effectieve koopprijs. Modelleer dit als een belasting van 60 (×1000) op kopers. Bereken het nieuwe evenwicht en de belastingopbrengst.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het welvaartsverlies door de belasting en leg uit hoe dit verdeeld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Beoordeel of een hogere overdrachtsbelasting een effectief instrument is om de woningmarkt te reguleren. Betrek in je analyse: het effect op woningaanbod, het effect op doorstroming, en mogelijke alternatieven.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200"/>
      </w:pPr>
    </w:p>
    <w:p>
      <w:pPr>
        <w:pStyle w:val="Heading2"/>
        <w:spacing w:after="120" w:before="200"/>
      </w:pPr>
      <w:r>
        <w:rPr>
          <w:rFonts w:ascii="Arial" w:cs="Arial" w:eastAsia="Arial" w:hAnsi="Arial"/>
          <w:b/>
          <w:bCs/>
          <w:color w:val="154360"/>
          <w:sz w:val="24"/>
          <w:szCs w:val="24"/>
        </w:rPr>
        <w:t xml:space="preserve">Opgave 4 — Wereldhandel in koffie (10p)</w:t>
      </w:r>
    </w:p>
    <w:p>
      <w:pPr>
        <w:spacing w:after="120"/>
      </w:pPr>
      <w:r>
        <w:rPr>
          <w:rFonts w:ascii="Arial" w:cs="Arial" w:eastAsia="Arial" w:hAnsi="Arial"/>
          <w:color w:val="2D3748"/>
          <w:sz w:val="22"/>
          <w:szCs w:val="22"/>
        </w:rPr>
        <w:t xml:space="preserve">Brazilië en Vietnam zijn de twee grootste koffieproducenten ter wereld. Brazilië produceert jaarlijks 60 miljoen zakken koffie en kan daarnaast 30 miljoen ton sojabonen produceren. Vietnam produceert 30 miljoen zakken koffie en kan daarnaast 10 miljoen ton rijst produceren.</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alternatieve kosten van 1 miljoen zakken koffie in beide landen.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Een klimaatschok verwoest 30% van de Braziliaanse koffieoogst. Analyseer het effect op de wereldmarktprijs van koffie met een vraag-en-aanbodmodel.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De exportprijsindex van Vietnam stijgt van 100 naar 115 door de hogere koffieprijs. De importprijsindex stijgt van 100 naar 108. Bereken de ruilvoetverandering en leg uit of Vietnam profiteert van de klimaatschok in Brazilië.</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Beoordeel of het voor ontwikkelingslanden als Vietnam verstandig is om sterk afhankelijk te zijn van één exportproduct. Gebruik de begrippen ruilvoet, comparatief voordeel en diversificatie.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Naar het examen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2026-04-05T20:13:53.911Z</dcterms:created>
  <dcterms:modified xsi:type="dcterms:W3CDTF">2026-04-05T20:13:53.911Z</dcterms:modified>
</cp:coreProperties>
</file>

<file path=docProps/custom.xml><?xml version="1.0" encoding="utf-8"?>
<Properties xmlns="http://schemas.openxmlformats.org/officeDocument/2006/custom-properties" xmlns:vt="http://schemas.openxmlformats.org/officeDocument/2006/docPropsVTypes"/>
</file>