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E2761"/>
          <w:sz w:val="48"/>
          <w:szCs w:val="48"/>
        </w:rPr>
        <w:t xml:space="preserve">Markt en marktstructuur</w:t>
      </w:r>
    </w:p>
    <w:p>
      <w:pPr>
        <w:spacing w:after="40"/>
        <w:jc w:val="center"/>
      </w:pPr>
      <w:r>
        <w:rPr>
          <w:rFonts w:ascii="Arial" w:cs="Arial" w:eastAsia="Arial" w:hAnsi="Arial"/>
          <w:color w:val="718096"/>
          <w:sz w:val="26"/>
          <w:szCs w:val="26"/>
        </w:rPr>
        <w:t xml:space="preserve">Begeleide Inoefening — Paragraaf 3.1.1</w:t>
      </w:r>
    </w:p>
    <w:p>
      <w:pPr>
        <w:spacing w:after="100"/>
      </w:pPr>
    </w:p>
    <w:p>
      <w:pPr>
        <w:spacing w:after="80"/>
        <w:jc w:val="center"/>
      </w:pPr>
      <w:r>
        <w:rPr>
          <w:rFonts w:ascii="Arial" w:cs="Arial" w:eastAsia="Arial" w:hAnsi="Arial"/>
          <w:b/>
          <w:bCs/>
          <w:color w:val="E67E22"/>
          <w:sz w:val="28"/>
          <w:szCs w:val="28"/>
        </w:rPr>
        <w:t xml:space="preserve">Vragen &amp; Antwoorden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Marktanalyse</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Bedrijfseconomie</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Arbeidsmarkt</w:t>
            </w:r>
          </w:p>
        </w:tc>
      </w:tr>
    </w:tbl>
    <w:p>
      <w:pPr>
        <w:spacing w:after="300"/>
      </w:pPr>
    </w:p>
    <w:p>
      <w:pPr>
        <w:spacing w:after="120"/>
        <w:jc w:val="center"/>
      </w:pPr>
      <w:r>
        <w:rPr>
          <w:rFonts w:ascii="Arial" w:cs="Arial" w:eastAsia="Arial" w:hAnsi="Arial"/>
          <w:color w:val="718096"/>
          <w:sz w:val="22"/>
          <w:szCs w:val="22"/>
        </w:rPr>
        <w:t xml:space="preserve">Dit document bevat oefeningen met denkstappen,</w:t>
      </w:r>
    </w:p>
    <w:p>
      <w:pPr>
        <w:spacing w:after="200"/>
        <w:jc w:val="center"/>
      </w:pPr>
      <w:r>
        <w:rPr>
          <w:rFonts w:ascii="Arial" w:cs="Arial" w:eastAsia="Arial" w:hAnsi="Arial"/>
          <w:color w:val="718096"/>
          <w:sz w:val="22"/>
          <w:szCs w:val="22"/>
        </w:rPr>
        <w:t xml:space="preserve">formule-herinneringen en hints die je stap voor stap helpen.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Studietip:</w:t>
            </w:r>
            <w:r>
              <w:rPr>
                <w:rFonts w:ascii="Arial" w:cs="Arial" w:eastAsia="Arial" w:hAnsi="Arial"/>
                <w:color w:val="2D3748"/>
                <w:sz w:val="22"/>
                <w:szCs w:val="22"/>
              </w:rPr>
              <w:t xml:space="preserve">Dit document bevat de vragen én de uitgewerkte antwoorden met uitleg. Probeer altijd eerst zelf de vraag te beantwoorden voordat je het antwoord leest!</w:t>
            </w:r>
          </w:p>
        </w:tc>
      </w:tr>
    </w:tbl>
    <w:p>
      <w:r>
        <w:br w:type="page"/>
      </w:r>
    </w:p>
    <w:p>
      <w:pPr>
        <w:pStyle w:val="Heading1"/>
        <w:spacing w:after="240" w:before="120"/>
      </w:pPr>
      <w:r>
        <w:rPr>
          <w:rFonts w:ascii="Arial" w:cs="Arial" w:eastAsia="Arial" w:hAnsi="Arial"/>
          <w:b/>
          <w:bCs/>
          <w:color w:val="1E2761"/>
          <w:sz w:val="30"/>
          <w:szCs w:val="30"/>
        </w:rPr>
        <w:t xml:space="preserve">Zo werkt dit document</w:t>
      </w:r>
    </w:p>
    <w:p>
      <w:pPr>
        <w:spacing w:after="120"/>
      </w:pPr>
      <w:r>
        <w:rPr>
          <w:rFonts w:ascii="Arial" w:cs="Arial" w:eastAsia="Arial" w:hAnsi="Arial"/>
          <w:color w:val="2D3748"/>
          <w:sz w:val="22"/>
          <w:szCs w:val="22"/>
        </w:rPr>
        <w:t xml:space="preserve">In dit document vind je verschillende soorten hulpkaders: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Stappen die je kunt volgen om tot het antwoord te komen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w:t>
            </w:r>
            <w:r>
              <w:rPr>
                <w:rFonts w:ascii="Arial" w:cs="Arial" w:eastAsia="Arial" w:hAnsi="Arial"/>
                <w:color w:val="2D3748"/>
                <w:sz w:val="22"/>
                <w:szCs w:val="22"/>
              </w:rPr>
              <w:t xml:space="preserve">Een korte hint die je op weg helpt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Formules die je nodig hebt voor de opgave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Iets waar je extra op moet letten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uitgewerkte antwoord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Waarom dit het goede antwoord is — de redenering erachter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Een controle-check om te zien of je op de goede weg zit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De telecommarkt: marktkenmerken herkennen</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KPN biedt al decennia telecommunicatiediensten aan. Vroeger had KPN het monopolie op telefonie. Nu zijn er veel meer aanbieders, maar de markt heeft nog steeds bijzondere kenmerken.</w:t>
      </w:r>
    </w:p>
    <w:p>
      <w:pPr>
        <w:spacing w:after="80"/>
      </w:pPr>
    </w:p>
    <w:p>
      <w:pPr>
        <w:pStyle w:val="Heading2"/>
        <w:spacing w:after="120" w:before="200"/>
      </w:pPr>
      <w:r>
        <w:rPr>
          <w:rFonts w:ascii="Arial" w:cs="Arial" w:eastAsia="Arial" w:hAnsi="Arial"/>
          <w:b/>
          <w:bCs/>
          <w:color w:val="1A5276"/>
          <w:sz w:val="24"/>
          <w:szCs w:val="24"/>
        </w:rPr>
        <w:t xml:space="preserve">Vraag 1a — Wat is een telegram?</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w:t>
            </w:r>
            <w:r>
              <w:rPr>
                <w:rFonts w:ascii="Arial" w:cs="Arial" w:eastAsia="Arial" w:hAnsi="Arial"/>
                <w:color w:val="2D3748"/>
                <w:sz w:val="22"/>
                <w:szCs w:val="22"/>
              </w:rPr>
              <w:t xml:space="preserve">Denk aan een oude manier om berichten te versturen, voordat e-mail en sms bestonden.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val="false"/>
                <w:bCs w:val="false"/>
                <w:color w:val="2D3748"/>
                <w:sz w:val="22"/>
                <w:szCs w:val="22"/>
              </w:rPr>
              <w:t xml:space="preserve">Een telegram is een kort bericht dat via elektrische signalen werd verstuurd over een draadnetwerk. Het was de voorloper van moderne communicatiemiddelen.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Telegrammen waren tot halverwege de 20e eeuw het snelste communicatiemiddel. Ze werden verdrongen door telefoon, fax en later internet.</w:t>
            </w:r>
          </w:p>
        </w:tc>
      </w:tr>
    </w:tbl>
    <w:p>
      <w:pPr>
        <w:spacing w:after="80"/>
      </w:pPr>
    </w:p>
    <w:p>
      <w:pPr>
        <w:pStyle w:val="Heading2"/>
        <w:spacing w:after="120" w:before="200"/>
      </w:pPr>
      <w:r>
        <w:rPr>
          <w:rFonts w:ascii="Arial" w:cs="Arial" w:eastAsia="Arial" w:hAnsi="Arial"/>
          <w:b/>
          <w:bCs/>
          <w:color w:val="1A5276"/>
          <w:sz w:val="24"/>
          <w:szCs w:val="24"/>
        </w:rPr>
        <w:t xml:space="preserve">Vraag 1b — Waarom biedt KPN geen telegraamdiensten meer aan?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Bedenk: is er nog vraag naar telegrammen?</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Zijn er betere alternatieven gekomen?</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Wat gebeurt er met een product als de vraag verdwijnt?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val="false"/>
                <w:bCs w:val="false"/>
                <w:color w:val="2D3748"/>
                <w:sz w:val="22"/>
                <w:szCs w:val="22"/>
              </w:rPr>
              <w:t xml:space="preserve">Er is geen vraag meer naar telegrammen. E-mail, sms en WhatsApp zijn sneller, goedkoper en handiger. Zonder vraag is het niet rendabel om de dienst aan te bieden.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Dit is een voorbeeld van hoe markten veranderen: als de vraag naar een product verdwijnt, stopt het aanbod vanzelf. De markt voor telegrammen is verdwenen.</w:t>
            </w:r>
          </w:p>
        </w:tc>
      </w:tr>
    </w:tbl>
    <w:p>
      <w:pPr>
        <w:spacing w:after="80"/>
      </w:pPr>
    </w:p>
    <w:p>
      <w:pPr>
        <w:pStyle w:val="Heading2"/>
        <w:spacing w:after="120" w:before="200"/>
      </w:pPr>
      <w:r>
        <w:rPr>
          <w:rFonts w:ascii="Arial" w:cs="Arial" w:eastAsia="Arial" w:hAnsi="Arial"/>
          <w:b/>
          <w:bCs/>
          <w:color w:val="1A5276"/>
          <w:sz w:val="24"/>
          <w:szCs w:val="24"/>
        </w:rPr>
        <w:t xml:space="preserve">Vraag 1c — Noem drie toetredingsdrempels van de telecommarkt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Wat heb je nodig om een telecomprovider te worden?</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Denk aan: infrastructuur, vergunningen, klanten werven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w:t>
            </w:r>
            <w:r>
              <w:rPr>
                <w:rFonts w:ascii="Arial" w:cs="Arial" w:eastAsia="Arial" w:hAnsi="Arial"/>
                <w:color w:val="2D3748"/>
                <w:sz w:val="22"/>
                <w:szCs w:val="22"/>
              </w:rPr>
              <w:t xml:space="preserve">Toetredingsdrempels zijn barrières die het moeilijk maken voor nieuwe bedrijven om een markt te betreden.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val="false"/>
                <w:bCs w:val="false"/>
                <w:color w:val="2D3748"/>
                <w:sz w:val="22"/>
                <w:szCs w:val="22"/>
              </w:rPr>
              <w:t xml:space="preserve">(1) Hoge investeringskosten voor netwerk (masten, kabels). (2) Vergunningen nodig van de overheid (frequenties). (3) Bestaande aanbieders hebben al klanten (merkloyaliteit).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Hoge toetredingsdrempels beperken het aantal aanbieders. Hoe hoger de drempels, hoe minder concurrentie en hoe meer marktmacht voor bestaande spelers.</w:t>
            </w:r>
          </w:p>
        </w:tc>
      </w:tr>
    </w:tbl>
    <w:p>
      <w:pPr>
        <w:spacing w:after="80"/>
      </w:pPr>
    </w:p>
    <w:p>
      <w:pPr>
        <w:pStyle w:val="Heading2"/>
        <w:spacing w:after="120" w:before="200"/>
      </w:pPr>
      <w:r>
        <w:rPr>
          <w:rFonts w:ascii="Arial" w:cs="Arial" w:eastAsia="Arial" w:hAnsi="Arial"/>
          <w:b/>
          <w:bCs/>
          <w:color w:val="1A5276"/>
          <w:sz w:val="24"/>
          <w:szCs w:val="24"/>
        </w:rPr>
        <w:t xml:space="preserve">Vraag 1d — Homogeen of heterogeen goed?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w:t>
            </w:r>
            <w:r>
              <w:rPr>
                <w:rFonts w:ascii="Arial" w:cs="Arial" w:eastAsia="Arial" w:hAnsi="Arial"/>
                <w:color w:val="2D3748"/>
                <w:sz w:val="22"/>
                <w:szCs w:val="22"/>
              </w:rPr>
              <w:t xml:space="preserve">Homogeen = identiek product (geen verschil). Heterogeen = producten verschillen van elkaar.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val="false"/>
                <w:bCs w:val="false"/>
                <w:color w:val="2D3748"/>
                <w:sz w:val="22"/>
                <w:szCs w:val="22"/>
              </w:rPr>
              <w:t xml:space="preserve">Heterogeen goed. Providers onderscheiden zich met snelheid, dekking, prijs, klantenservice en extra’s (bijv. streamingdiensten).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Bij heterogene goederen hebben aanbieders meer invloed op de prijs, omdat klanten niet alleen op prijs kiezen maar ook op andere kenmerken.</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Concrete en abstracte markten</w:t>
            </w:r>
          </w:p>
          <w:p>
            <w:pPr>
              <w:spacing w:before="40"/>
            </w:pPr>
            <w:r>
              <w:rPr>
                <w:rFonts w:ascii="Arial" w:cs="Arial" w:eastAsia="Arial" w:hAnsi="Arial"/>
                <w:i/>
                <w:iCs/>
                <w:color w:val="1A5276"/>
                <w:sz w:val="18"/>
                <w:szCs w:val="18"/>
              </w:rPr>
              <w:t xml:space="preserve">Marktanalyse</w:t>
            </w:r>
          </w:p>
        </w:tc>
      </w:tr>
    </w:tbl>
    <w:p>
      <w:pPr>
        <w:spacing w:after="80"/>
      </w:pPr>
    </w:p>
    <w:p>
      <w:pPr>
        <w:pStyle w:val="Heading2"/>
        <w:spacing w:after="120" w:before="200"/>
      </w:pPr>
      <w:r>
        <w:rPr>
          <w:rFonts w:ascii="Arial" w:cs="Arial" w:eastAsia="Arial" w:hAnsi="Arial"/>
          <w:b/>
          <w:bCs/>
          <w:color w:val="1A5276"/>
          <w:sz w:val="24"/>
          <w:szCs w:val="24"/>
        </w:rPr>
        <w:t xml:space="preserve">Vraag 2 — Concrete of abstracte markt?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Een concrete markt heeft een fysieke locatie waar vragers en aanbieders samenkomen.</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Een abstracte markt heeft geen vaste locatie — vraag en aanbod ontmoeten elkaar via prijssignalen.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w:t>
            </w:r>
            <w:r>
              <w:rPr>
                <w:rFonts w:ascii="Arial" w:cs="Arial" w:eastAsia="Arial" w:hAnsi="Arial"/>
                <w:color w:val="2D3748"/>
                <w:sz w:val="22"/>
                <w:szCs w:val="22"/>
              </w:rPr>
              <w:t xml:space="preserve">Stel jezelf bij elk voorbeeld de vraag: kunnen de kopers en verkopers elkaar fysiek ontmoeten op één plek?</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Abstract — woningen verspreid over het land, geen één locatie.</w:t>
            </w:r>
          </w:p>
          <w:p>
            <w:pPr>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Abstract — handel via beurzen en contracten, wereldwijd.</w:t>
            </w:r>
          </w:p>
          <w:p>
            <w:pPr>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Concreet — fysieke markt op een vaste locatie en tijd.</w:t>
            </w:r>
          </w:p>
          <w:p>
            <w:pPr>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Abstract — wereldwijd, handel via beurzen.</w:t>
            </w:r>
          </w:p>
          <w:p>
            <w:pPr>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Concreet — veiling is een fysieke locatie.</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Het onderscheid helpt om te begrijpen hoe prijsvorming werkt. Op concrete markten zie je direct vraag en aanbod. Op abstracte markten werkt het prijsmechanisme via signalen (bijv. beursnoteringen).</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Aanbieders en concurrentie</w:t>
            </w:r>
          </w:p>
          <w:p>
            <w:pPr>
              <w:spacing w:before="40"/>
            </w:pPr>
            <w:r>
              <w:rPr>
                <w:rFonts w:ascii="Arial" w:cs="Arial" w:eastAsia="Arial" w:hAnsi="Arial"/>
                <w:i/>
                <w:iCs/>
                <w:color w:val="1A5276"/>
                <w:sz w:val="18"/>
                <w:szCs w:val="18"/>
              </w:rPr>
              <w:t xml:space="preserve">Marktanalyse</w:t>
            </w:r>
          </w:p>
        </w:tc>
      </w:tr>
    </w:tbl>
    <w:p>
      <w:pPr>
        <w:spacing w:after="80"/>
      </w:pPr>
    </w:p>
    <w:p>
      <w:pPr>
        <w:pStyle w:val="Heading2"/>
        <w:spacing w:after="120" w:before="200"/>
      </w:pPr>
      <w:r>
        <w:rPr>
          <w:rFonts w:ascii="Arial" w:cs="Arial" w:eastAsia="Arial" w:hAnsi="Arial"/>
          <w:b/>
          <w:bCs/>
          <w:color w:val="1A5276"/>
          <w:sz w:val="24"/>
          <w:szCs w:val="24"/>
        </w:rPr>
        <w:t xml:space="preserve">Vraag 3 — Vul de ontbrekende woorden/getallen in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Meer aanbieders = meer concurrentie = lagere prijs</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Voor twee aanbieders is meer koopkracht nodig dan voor één (maar niet exact dubbel)</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Reken: 710 consumenten is genoeg voor hoeveel aanbieders?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lager (meer concurrentie drukt de prijs)</w:t>
            </w:r>
          </w:p>
          <w:p>
            <w:pPr>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meer (extra koopkracht nodig voor een tweede aanbieder)</w:t>
            </w:r>
          </w:p>
          <w:p>
            <w:pPr>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Afhankelijk van de marktgrootte; typisch 1-2 aanbieders bij 710 consumenten</w:t>
            </w:r>
          </w:p>
          <w:p>
            <w:pPr>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Meer dan 710 (precieze getal hangt af van de context)</w:t>
            </w:r>
          </w:p>
          <w:p>
            <w:pPr>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Het verschil tussen D en 710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Dit laat zien dat markten een minimale omvang nodig hebben om meerdere aanbieders te ondersteunen. Kleine markten hebben vaak maar één aanbieder.</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Netwerksectoren en de overheid</w:t>
            </w:r>
          </w:p>
          <w:p>
            <w:pPr>
              <w:spacing w:before="40"/>
            </w:pPr>
            <w:r>
              <w:rPr>
                <w:rFonts w:ascii="Arial" w:cs="Arial" w:eastAsia="Arial" w:hAnsi="Arial"/>
                <w:i/>
                <w:iCs/>
                <w:color w:val="1A5276"/>
                <w:sz w:val="18"/>
                <w:szCs w:val="18"/>
              </w:rPr>
              <w:t xml:space="preserve">Marktanalyse</w:t>
            </w:r>
          </w:p>
        </w:tc>
      </w:tr>
    </w:tbl>
    <w:p>
      <w:pPr>
        <w:spacing w:after="80"/>
      </w:pPr>
    </w:p>
    <w:p>
      <w:pPr>
        <w:pStyle w:val="Heading2"/>
        <w:spacing w:after="120" w:before="200"/>
      </w:pPr>
      <w:r>
        <w:rPr>
          <w:rFonts w:ascii="Arial" w:cs="Arial" w:eastAsia="Arial" w:hAnsi="Arial"/>
          <w:b/>
          <w:bCs/>
          <w:color w:val="1A5276"/>
          <w:sz w:val="24"/>
          <w:szCs w:val="24"/>
        </w:rPr>
        <w:t xml:space="preserve">Vraag 4a — Wat als de overheid het netwerk niet aanlegt?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w:t>
            </w:r>
            <w:r>
              <w:rPr>
                <w:rFonts w:ascii="Arial" w:cs="Arial" w:eastAsia="Arial" w:hAnsi="Arial"/>
                <w:color w:val="2D3748"/>
                <w:sz w:val="22"/>
                <w:szCs w:val="22"/>
              </w:rPr>
              <w:t xml:space="preserve">Denk aan: wie kan een heel netwerk (spoor, elektriciteit, water) betalen? Is dat rendabel voor één bedrijf?</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val="false"/>
                <w:bCs w:val="false"/>
                <w:color w:val="2D3748"/>
                <w:sz w:val="22"/>
                <w:szCs w:val="22"/>
              </w:rPr>
              <w:t xml:space="preserve">Dan komt het netwerk niet tot stand, omdat de investeringskosten te hoog zijn voor een individueel bedrijf. Het is een natuurlijk monopolie: één netwerk is efficiënter dan meerdere.</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Netwerksectoren zijn een klassiek voorbeeld van marktfalen: de markt levert het netwerk niet zelf, dus de overheid springt bij.</w:t>
            </w:r>
          </w:p>
        </w:tc>
      </w:tr>
    </w:tbl>
    <w:p>
      <w:pPr>
        <w:spacing w:after="80"/>
      </w:pPr>
    </w:p>
    <w:p>
      <w:pPr>
        <w:pStyle w:val="Heading2"/>
        <w:spacing w:after="120" w:before="200"/>
      </w:pPr>
      <w:r>
        <w:rPr>
          <w:rFonts w:ascii="Arial" w:cs="Arial" w:eastAsia="Arial" w:hAnsi="Arial"/>
          <w:b/>
          <w:bCs/>
          <w:color w:val="1A5276"/>
          <w:sz w:val="24"/>
          <w:szCs w:val="24"/>
        </w:rPr>
        <w:t xml:space="preserve">Vraag 4b — Reden om het netwerk wél te verkopen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val="false"/>
                <w:bCs w:val="false"/>
                <w:color w:val="2D3748"/>
                <w:sz w:val="22"/>
                <w:szCs w:val="22"/>
              </w:rPr>
              <w:t xml:space="preserve">Een privaat bedrijf heeft een prikkel om efficiënt te werken en te innoveren. De overheid is daar soms minder goed in.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Privatisering kan leiden tot lagere kosten en betere dienstverlening door marktprikkels.</w:t>
            </w:r>
          </w:p>
        </w:tc>
      </w:tr>
    </w:tbl>
    <w:p>
      <w:pPr>
        <w:spacing w:after="80"/>
      </w:pPr>
    </w:p>
    <w:p>
      <w:pPr>
        <w:pStyle w:val="Heading2"/>
        <w:spacing w:after="120" w:before="200"/>
      </w:pPr>
      <w:r>
        <w:rPr>
          <w:rFonts w:ascii="Arial" w:cs="Arial" w:eastAsia="Arial" w:hAnsi="Arial"/>
          <w:b/>
          <w:bCs/>
          <w:color w:val="1A5276"/>
          <w:sz w:val="24"/>
          <w:szCs w:val="24"/>
        </w:rPr>
        <w:t xml:space="preserve">Vraag 4c — Reden om het netwerk niet te verkopen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val="false"/>
                <w:bCs w:val="false"/>
                <w:color w:val="2D3748"/>
                <w:sz w:val="22"/>
                <w:szCs w:val="22"/>
              </w:rPr>
              <w:t xml:space="preserve">De koper krijgt een monopoliepositie en kan hoge prijzen vragen. De overheid verliest de controle over een essentiële voorziening.</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Dit is het dilemma van privatisering: efficiëntie vs. marktmacht. Bij essentiële netwerken (water, elektriciteit) kiest de overheid vaak voor regulering.</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5</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Taxivervoer en platformeconomie</w:t>
            </w:r>
          </w:p>
          <w:p>
            <w:pPr>
              <w:spacing w:before="40"/>
            </w:pPr>
            <w:r>
              <w:rPr>
                <w:rFonts w:ascii="Arial" w:cs="Arial" w:eastAsia="Arial" w:hAnsi="Arial"/>
                <w:i/>
                <w:iCs/>
                <w:color w:val="1A5276"/>
                <w:sz w:val="18"/>
                <w:szCs w:val="18"/>
              </w:rPr>
              <w:t xml:space="preserve">Marktanalyse</w:t>
            </w:r>
          </w:p>
        </w:tc>
      </w:tr>
    </w:tbl>
    <w:p>
      <w:pPr>
        <w:spacing w:after="80"/>
      </w:pPr>
    </w:p>
    <w:p>
      <w:pPr>
        <w:pStyle w:val="Heading2"/>
        <w:spacing w:after="120" w:before="200"/>
      </w:pPr>
      <w:r>
        <w:rPr>
          <w:rFonts w:ascii="Arial" w:cs="Arial" w:eastAsia="Arial" w:hAnsi="Arial"/>
          <w:b/>
          <w:bCs/>
          <w:color w:val="1A5276"/>
          <w:sz w:val="24"/>
          <w:szCs w:val="24"/>
        </w:rPr>
        <w:t xml:space="preserve">Vraag 5a — Homogeen of heterogeen?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val="false"/>
                <w:bCs w:val="false"/>
                <w:color w:val="2D3748"/>
                <w:sz w:val="22"/>
                <w:szCs w:val="22"/>
              </w:rPr>
              <w:t xml:space="preserve">Heterogeen — taxibedrijven onderscheiden zich door comfort, prijs, snelheid, app-gebruiksgemak.</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Hoewel de basisdienst (vervoer van A naar B) hetzelfde is, zorgen verschillen in beleving voor heterogeniteit.</w:t>
            </w:r>
          </w:p>
        </w:tc>
      </w:tr>
    </w:tbl>
    <w:p>
      <w:pPr>
        <w:spacing w:after="80"/>
      </w:pPr>
    </w:p>
    <w:p>
      <w:pPr>
        <w:pStyle w:val="Heading2"/>
        <w:spacing w:after="120" w:before="200"/>
      </w:pPr>
      <w:r>
        <w:rPr>
          <w:rFonts w:ascii="Arial" w:cs="Arial" w:eastAsia="Arial" w:hAnsi="Arial"/>
          <w:b/>
          <w:bCs/>
          <w:color w:val="1A5276"/>
          <w:sz w:val="24"/>
          <w:szCs w:val="24"/>
        </w:rPr>
        <w:t xml:space="preserve">Vraag 5b — Toetredingsdrempels vergelijken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w:t>
            </w:r>
            <w:r>
              <w:rPr>
                <w:rFonts w:ascii="Arial" w:cs="Arial" w:eastAsia="Arial" w:hAnsi="Arial"/>
                <w:color w:val="2D3748"/>
                <w:sz w:val="22"/>
                <w:szCs w:val="22"/>
              </w:rPr>
              <w:t xml:space="preserve">Denk aan: wat kost een taxivergunning (medallion) in New York?</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val="false"/>
                <w:bCs w:val="false"/>
                <w:color w:val="2D3748"/>
                <w:sz w:val="22"/>
                <w:szCs w:val="22"/>
              </w:rPr>
              <w:t xml:space="preserve">In Chicago/New York zijn vergunningen (medallions) extreem duur (±$1 miljoen). Chauffeurs die al een vergunning hebben, hoefden die kosten niet meer te maken. Nieuwe chauffeurs moeten de volle prijs betalen.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Dit is een voorbeeld van hoe vergunningen als toetredingsdrempel werken: ze beschermen zittende aanbieders.</w:t>
            </w:r>
          </w:p>
        </w:tc>
      </w:tr>
    </w:tbl>
    <w:p>
      <w:pPr>
        <w:spacing w:after="80"/>
      </w:pPr>
    </w:p>
    <w:p>
      <w:pPr>
        <w:pStyle w:val="Heading2"/>
        <w:spacing w:after="120" w:before="200"/>
      </w:pPr>
      <w:r>
        <w:rPr>
          <w:rFonts w:ascii="Arial" w:cs="Arial" w:eastAsia="Arial" w:hAnsi="Arial"/>
          <w:b/>
          <w:bCs/>
          <w:color w:val="1A5276"/>
          <w:sz w:val="24"/>
          <w:szCs w:val="24"/>
        </w:rPr>
        <w:t xml:space="preserve">Vraag 5c — Uber/Lyft vs. taxi</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val="false"/>
                <w:bCs w:val="false"/>
                <w:color w:val="2D3748"/>
                <w:sz w:val="22"/>
                <w:szCs w:val="22"/>
              </w:rPr>
              <w:t xml:space="preserve">Vergelijkbare dienst (vervoer), maar via een ander businessmodel (platform, geen vergunning). Het is een substitutiegoed.</w:t>
            </w:r>
          </w:p>
        </w:tc>
      </w:tr>
    </w:tbl>
    <w:p>
      <w:pPr>
        <w:spacing w:after="40"/>
      </w:pPr>
    </w:p>
    <w:p>
      <w:pPr>
        <w:spacing w:after="80"/>
      </w:pPr>
    </w:p>
    <w:p>
      <w:pPr>
        <w:pStyle w:val="Heading2"/>
        <w:spacing w:after="120" w:before="200"/>
      </w:pPr>
      <w:r>
        <w:rPr>
          <w:rFonts w:ascii="Arial" w:cs="Arial" w:eastAsia="Arial" w:hAnsi="Arial"/>
          <w:b/>
          <w:bCs/>
          <w:color w:val="1A5276"/>
          <w:sz w:val="24"/>
          <w:szCs w:val="24"/>
        </w:rPr>
        <w:t xml:space="preserve">Vraag 5d — Nadeel van Uber/Lyft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val="false"/>
                <w:bCs w:val="false"/>
                <w:color w:val="2D3748"/>
                <w:sz w:val="22"/>
                <w:szCs w:val="22"/>
              </w:rPr>
              <w:t xml:space="preserve">Meer auto’s op de weg door het extra aanbod → meer congestie en uitstoot in grote steden.</w:t>
            </w:r>
          </w:p>
        </w:tc>
      </w:tr>
    </w:tbl>
    <w:p>
      <w:pPr>
        <w:spacing w:after="40"/>
      </w:pPr>
    </w:p>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6</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Homogeen of heterogeen?</w:t>
            </w:r>
          </w:p>
          <w:p>
            <w:pPr>
              <w:spacing w:before="40"/>
            </w:pPr>
            <w:r>
              <w:rPr>
                <w:rFonts w:ascii="Arial" w:cs="Arial" w:eastAsia="Arial" w:hAnsi="Arial"/>
                <w:i/>
                <w:iCs/>
                <w:color w:val="1A5276"/>
                <w:sz w:val="18"/>
                <w:szCs w:val="18"/>
              </w:rPr>
              <w:t xml:space="preserve">Marktanalyse</w:t>
            </w:r>
          </w:p>
        </w:tc>
      </w:tr>
    </w:tbl>
    <w:p>
      <w:pPr>
        <w:spacing w:after="80"/>
      </w:pPr>
    </w:p>
    <w:p>
      <w:pPr>
        <w:pStyle w:val="Heading2"/>
        <w:spacing w:after="120" w:before="200"/>
      </w:pPr>
      <w:r>
        <w:rPr>
          <w:rFonts w:ascii="Arial" w:cs="Arial" w:eastAsia="Arial" w:hAnsi="Arial"/>
          <w:b/>
          <w:bCs/>
          <w:color w:val="1A5276"/>
          <w:sz w:val="24"/>
          <w:szCs w:val="24"/>
        </w:rPr>
        <w:t xml:space="preserve">Vraag 6 — Bepaal per markt: homogeen of heterogeen?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Heterogeen — elk café heeft eigen sfeer, assortiment, locatie.</w:t>
            </w:r>
          </w:p>
          <w:p>
            <w:pPr>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Heterogeen — merken, modellen, prijsklassen verschillen.</w:t>
            </w:r>
          </w:p>
          <w:p>
            <w:pPr>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Heterogeen — eigen menu, sfeer, keuken.</w:t>
            </w:r>
          </w:p>
          <w:p>
            <w:pPr>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Homogeen — biologische prei is onderling nauwelijks te onderscheiden.</w:t>
            </w:r>
          </w:p>
          <w:p>
            <w:pPr>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Homogeen — elektriciteit uit het stopcontact is identiek, ongeacht de leverancier.</w:t>
            </w:r>
          </w:p>
          <w:p>
            <w:pPr>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Homogeen — Euro 95 is een gestandaardiseerd product.</w:t>
            </w:r>
          </w:p>
        </w:tc>
      </w:tr>
    </w:tbl>
    <w:p>
      <w:pPr>
        <w:spacing w:after="40"/>
      </w:pPr>
    </w:p>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7</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Prijsinvloed en productdifferentiatie</w:t>
            </w:r>
          </w:p>
          <w:p>
            <w:pPr>
              <w:spacing w:before="40"/>
            </w:pPr>
            <w:r>
              <w:rPr>
                <w:rFonts w:ascii="Arial" w:cs="Arial" w:eastAsia="Arial" w:hAnsi="Arial"/>
                <w:i/>
                <w:iCs/>
                <w:color w:val="1A5276"/>
                <w:sz w:val="18"/>
                <w:szCs w:val="18"/>
              </w:rPr>
              <w:t xml:space="preserve">Marktanalyse</w:t>
            </w:r>
          </w:p>
        </w:tc>
      </w:tr>
    </w:tbl>
    <w:p>
      <w:pPr>
        <w:spacing w:after="80"/>
      </w:pPr>
    </w:p>
    <w:p>
      <w:pPr>
        <w:pStyle w:val="Heading2"/>
        <w:spacing w:after="120" w:before="200"/>
      </w:pPr>
      <w:r>
        <w:rPr>
          <w:rFonts w:ascii="Arial" w:cs="Arial" w:eastAsia="Arial" w:hAnsi="Arial"/>
          <w:b/>
          <w:bCs/>
          <w:color w:val="1A5276"/>
          <w:sz w:val="24"/>
          <w:szCs w:val="24"/>
        </w:rPr>
        <w:t xml:space="preserve">Vraag 7 — Luxe auto’s vs. goedkope auto’s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val="false"/>
                <w:bCs w:val="false"/>
                <w:color w:val="2D3748"/>
                <w:sz w:val="22"/>
                <w:szCs w:val="22"/>
              </w:rPr>
              <w:t xml:space="preserve">Luxe auto’s zijn sterk gedifferentieerd (merk, status, technologie). Er zijn minder substituten. Daardoor hebben aanbieders meer marktmacht en meer invloed op de prijs. Bij goedkope auto’s is er meer concurrentie en meer substitutie.</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Hoe meer productdifferentiatie, hoe meer marktmacht. Dit is het verschil tussen volkomen concurrentie (homogeen, geen prijsinvloed) en monopolistische concurrentie (heterogeen, enige prijsinvloed).</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8</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Smartphones en toetredingsdrempels</w:t>
            </w:r>
          </w:p>
          <w:p>
            <w:pPr>
              <w:spacing w:before="40"/>
            </w:pPr>
            <w:r>
              <w:rPr>
                <w:rFonts w:ascii="Arial" w:cs="Arial" w:eastAsia="Arial" w:hAnsi="Arial"/>
                <w:i/>
                <w:iCs/>
                <w:color w:val="1A5276"/>
                <w:sz w:val="18"/>
                <w:szCs w:val="18"/>
              </w:rPr>
              <w:t xml:space="preserve">Marktanalyse</w:t>
            </w:r>
          </w:p>
        </w:tc>
      </w:tr>
    </w:tbl>
    <w:p>
      <w:pPr>
        <w:spacing w:after="80"/>
      </w:pPr>
    </w:p>
    <w:p>
      <w:pPr>
        <w:pStyle w:val="Heading2"/>
        <w:spacing w:after="120" w:before="200"/>
      </w:pPr>
      <w:r>
        <w:rPr>
          <w:rFonts w:ascii="Arial" w:cs="Arial" w:eastAsia="Arial" w:hAnsi="Arial"/>
          <w:b/>
          <w:bCs/>
          <w:color w:val="1A5276"/>
          <w:sz w:val="24"/>
          <w:szCs w:val="24"/>
        </w:rPr>
        <w:t xml:space="preserve">Vraag 8a — Productdifferentiatie bij smartphones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val="false"/>
                <w:bCs w:val="false"/>
                <w:color w:val="2D3748"/>
                <w:sz w:val="22"/>
                <w:szCs w:val="22"/>
              </w:rPr>
              <w:t xml:space="preserve">Smartphones verschillen in merk (Apple, Samsung), besturingssysteem (iOS, Android), camera, design, prijs. Fabrikanten proberen zich te onderscheiden → productdifferentiatie.</w:t>
            </w:r>
          </w:p>
        </w:tc>
      </w:tr>
    </w:tbl>
    <w:p>
      <w:pPr>
        <w:spacing w:after="40"/>
      </w:pPr>
    </w:p>
    <w:p>
      <w:pPr>
        <w:spacing w:after="80"/>
      </w:pPr>
    </w:p>
    <w:p>
      <w:pPr>
        <w:pStyle w:val="Heading2"/>
        <w:spacing w:after="120" w:before="200"/>
      </w:pPr>
      <w:r>
        <w:rPr>
          <w:rFonts w:ascii="Arial" w:cs="Arial" w:eastAsia="Arial" w:hAnsi="Arial"/>
          <w:b/>
          <w:bCs/>
          <w:color w:val="1A5276"/>
          <w:sz w:val="24"/>
          <w:szCs w:val="24"/>
        </w:rPr>
        <w:t xml:space="preserve">Vraag 8b — Toetredingsdrempels hoog of laag?</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val="false"/>
                <w:bCs w:val="false"/>
                <w:color w:val="2D3748"/>
                <w:sz w:val="22"/>
                <w:szCs w:val="22"/>
              </w:rPr>
              <w:t xml:space="preserve">Hoog. Een nieuwe fabrikant heeft enorme R&amp;D-kosten, moet een merkimago opbouwen, en concurreert met gevestigde partijen met schaalvoordelen en patenten.</w:t>
            </w:r>
          </w:p>
        </w:tc>
      </w:tr>
    </w:tbl>
    <w:p>
      <w:pPr>
        <w:spacing w:after="40"/>
      </w:pPr>
    </w:p>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9</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Toetredingsdrempels en concurrentie</w:t>
            </w:r>
          </w:p>
          <w:p>
            <w:pPr>
              <w:spacing w:before="40"/>
            </w:pPr>
            <w:r>
              <w:rPr>
                <w:rFonts w:ascii="Arial" w:cs="Arial" w:eastAsia="Arial" w:hAnsi="Arial"/>
                <w:i/>
                <w:iCs/>
                <w:color w:val="1A5276"/>
                <w:sz w:val="18"/>
                <w:szCs w:val="18"/>
              </w:rPr>
              <w:t xml:space="preserve">Marktanalyse</w:t>
            </w:r>
          </w:p>
        </w:tc>
      </w:tr>
    </w:tbl>
    <w:p>
      <w:pPr>
        <w:spacing w:after="80"/>
      </w:pPr>
    </w:p>
    <w:p>
      <w:pPr>
        <w:pStyle w:val="Heading2"/>
        <w:spacing w:after="120" w:before="200"/>
      </w:pPr>
      <w:r>
        <w:rPr>
          <w:rFonts w:ascii="Arial" w:cs="Arial" w:eastAsia="Arial" w:hAnsi="Arial"/>
          <w:b/>
          <w:bCs/>
          <w:color w:val="1A5276"/>
          <w:sz w:val="24"/>
          <w:szCs w:val="24"/>
        </w:rPr>
        <w:t xml:space="preserve">Vraag 9 — Leg uit hoe lage toetredingsdrempels concurrentie bevorderen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val="false"/>
                <w:bCs w:val="false"/>
                <w:color w:val="2D3748"/>
                <w:sz w:val="22"/>
                <w:szCs w:val="22"/>
              </w:rPr>
              <w:t xml:space="preserve">Bij lage drempels kunnen nieuwe bedrijven makkelijk toetreden. Meer aanbieders = meer concurrentie = lagere prijzen en meer keuze voor consumenten. Als een zittende aanbieder te hoge prijzen vraagt, komen er nieuwe aanbieders die goedkoper aanbieden.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Dit is de kern van marktwerking: lage drempels houden bestaande bedrijven scherp. Bij hoge drempels (monopolie, oligopolie) ontbreekt deze tucht.</w:t>
            </w:r>
          </w:p>
        </w:tc>
      </w:tr>
    </w:tbl>
    <w:p>
      <w:pPr>
        <w:spacing w:after="80"/>
      </w:pPr>
    </w:p>
    <w:p>
      <w:r>
        <w:br w:type="page"/>
      </w:r>
    </w:p>
    <w:p>
      <w:pPr>
        <w:pStyle w:val="Heading1"/>
        <w:spacing w:after="240" w:before="120"/>
      </w:pPr>
      <w:r>
        <w:rPr>
          <w:rFonts w:ascii="Arial" w:cs="Arial" w:eastAsia="Arial" w:hAnsi="Arial"/>
          <w:b/>
          <w:bCs/>
          <w:color w:val="1E2761"/>
          <w:sz w:val="30"/>
          <w:szCs w:val="30"/>
        </w:rPr>
        <w:t xml:space="preserve">Samenvattend schema</w:t>
      </w:r>
    </w:p>
    <w:p>
      <w:pPr>
        <w:spacing w:after="120"/>
      </w:pPr>
      <w:r>
        <w:rPr>
          <w:rFonts w:ascii="Arial" w:cs="Arial" w:eastAsia="Arial" w:hAnsi="Arial"/>
          <w:color w:val="2D3748"/>
          <w:sz w:val="22"/>
          <w:szCs w:val="22"/>
        </w:rPr>
        <w:t xml:space="preserve">De belangrijkste kernregels van dit onderwerp op een rij:</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Concrete markt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Fysieke locatie waar vragers en aanbieders samenkomen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Abstracte markt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Geen vaste locatie; vraag en aanbod via prijssignalen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Homogeen product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Identiek, niet te onderscheiden (bijv. tarwe, benzine)</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Heterogeen product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Onderling verschillend (bijv. auto’s, restaurants)</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Toetredingsdrempels</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Barrières die toetreding tot een markt bemoeilijken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Meer aanbieders</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 meer concurrentie = lagere prijzen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3.1.1 Markt en marktstructuur – Begeleide inoefening — Vragen &amp; Antwoorden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2026-03-24T16:48:56.483Z</dcterms:created>
  <dcterms:modified xsi:type="dcterms:W3CDTF">2026-03-24T16:48:56.483Z</dcterms:modified>
</cp:coreProperties>
</file>

<file path=docProps/custom.xml><?xml version="1.0" encoding="utf-8"?>
<Properties xmlns="http://schemas.openxmlformats.org/officeDocument/2006/custom-properties" xmlns:vt="http://schemas.openxmlformats.org/officeDocument/2006/docPropsVTypes"/>
</file>