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B806" w14:textId="77777777" w:rsidR="00BD413A" w:rsidRPr="00BD413A" w:rsidRDefault="00BD413A" w:rsidP="00BD413A">
      <w:pPr>
        <w:rPr>
          <w:b/>
          <w:bCs/>
        </w:rPr>
      </w:pPr>
      <w:r w:rsidRPr="00BD413A">
        <w:rPr>
          <w:b/>
          <w:bCs/>
        </w:rPr>
        <w:t>Global clean-up checklist (apply consistently)</w:t>
      </w:r>
    </w:p>
    <w:p w14:paraId="3DA87FBE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>Remove PDF line-break hyphenation artifacts (e.g., “</w:t>
      </w:r>
      <w:proofErr w:type="spellStart"/>
      <w:r w:rsidRPr="00BD413A">
        <w:t>ef</w:t>
      </w:r>
      <w:proofErr w:type="spellEnd"/>
      <w:r w:rsidRPr="00BD413A">
        <w:t xml:space="preserve">- </w:t>
      </w:r>
      <w:proofErr w:type="spellStart"/>
      <w:r w:rsidRPr="00BD413A">
        <w:t>fective</w:t>
      </w:r>
      <w:proofErr w:type="spellEnd"/>
      <w:r w:rsidRPr="00BD413A">
        <w:t>”, “</w:t>
      </w:r>
      <w:proofErr w:type="spellStart"/>
      <w:r w:rsidRPr="00BD413A">
        <w:t>ur</w:t>
      </w:r>
      <w:proofErr w:type="spellEnd"/>
      <w:r w:rsidRPr="00BD413A">
        <w:t xml:space="preserve">- ban”, “di- </w:t>
      </w:r>
      <w:proofErr w:type="spellStart"/>
      <w:r w:rsidRPr="00BD413A">
        <w:t>mensions</w:t>
      </w:r>
      <w:proofErr w:type="spellEnd"/>
      <w:r w:rsidRPr="00BD413A">
        <w:t xml:space="preserve">”). Keep the words whole. </w:t>
      </w:r>
    </w:p>
    <w:p w14:paraId="04397365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 xml:space="preserve">Use British English throughout (e.g., “visualise”, “behaviour”, “modelled”, “organisation”). Some sections currently use American forms (“visualize”). </w:t>
      </w:r>
    </w:p>
    <w:p w14:paraId="2B0C953A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>Standardise key terms:</w:t>
      </w:r>
    </w:p>
    <w:p w14:paraId="1CC59A01" w14:textId="77777777" w:rsidR="00BD413A" w:rsidRPr="00BD413A" w:rsidRDefault="00BD413A" w:rsidP="00BD413A">
      <w:pPr>
        <w:numPr>
          <w:ilvl w:val="1"/>
          <w:numId w:val="1"/>
        </w:numPr>
      </w:pPr>
      <w:r w:rsidRPr="00BD413A">
        <w:t xml:space="preserve">Perception variables: </w:t>
      </w:r>
      <w:r w:rsidRPr="00BD413A">
        <w:rPr>
          <w:b/>
          <w:bCs/>
        </w:rPr>
        <w:t>Beauty, Boringness, Depression, Liveliness, Safety, Wealthiness</w:t>
      </w:r>
      <w:r w:rsidRPr="00BD413A">
        <w:t xml:space="preserve"> (avoid “Depressing” or “Wealth”). </w:t>
      </w:r>
    </w:p>
    <w:p w14:paraId="63B1DA39" w14:textId="77777777" w:rsidR="00BD413A" w:rsidRPr="00BD413A" w:rsidRDefault="00BD413A" w:rsidP="00BD413A">
      <w:pPr>
        <w:numPr>
          <w:ilvl w:val="1"/>
          <w:numId w:val="1"/>
        </w:numPr>
      </w:pPr>
      <w:r w:rsidRPr="00BD413A">
        <w:t xml:space="preserve">Geography: </w:t>
      </w:r>
      <w:r w:rsidRPr="00BD413A">
        <w:rPr>
          <w:b/>
          <w:bCs/>
        </w:rPr>
        <w:t>Global North</w:t>
      </w:r>
      <w:r w:rsidRPr="00BD413A">
        <w:t xml:space="preserve"> / </w:t>
      </w:r>
      <w:r w:rsidRPr="00BD413A">
        <w:rPr>
          <w:b/>
          <w:bCs/>
        </w:rPr>
        <w:t>Global South</w:t>
      </w:r>
      <w:r w:rsidRPr="00BD413A">
        <w:t xml:space="preserve"> (capitalise both words). </w:t>
      </w:r>
    </w:p>
    <w:p w14:paraId="390DAFF3" w14:textId="77777777" w:rsidR="00BD413A" w:rsidRPr="00BD413A" w:rsidRDefault="00BD413A" w:rsidP="00BD413A">
      <w:pPr>
        <w:numPr>
          <w:ilvl w:val="1"/>
          <w:numId w:val="1"/>
        </w:numPr>
      </w:pPr>
      <w:r w:rsidRPr="00BD413A">
        <w:t xml:space="preserve">Language groups: </w:t>
      </w:r>
      <w:r w:rsidRPr="00BD413A">
        <w:rPr>
          <w:b/>
          <w:bCs/>
        </w:rPr>
        <w:t>English-speaking</w:t>
      </w:r>
      <w:r w:rsidRPr="00BD413A">
        <w:t xml:space="preserve"> / </w:t>
      </w:r>
      <w:r w:rsidRPr="00BD413A">
        <w:rPr>
          <w:b/>
          <w:bCs/>
        </w:rPr>
        <w:t>non-English-speaking</w:t>
      </w:r>
      <w:r w:rsidRPr="00BD413A">
        <w:t xml:space="preserve"> (use hyphens). </w:t>
      </w:r>
    </w:p>
    <w:p w14:paraId="5D23BEB0" w14:textId="77777777" w:rsidR="00BD413A" w:rsidRPr="00BD413A" w:rsidRDefault="00BD413A" w:rsidP="00BD413A">
      <w:pPr>
        <w:numPr>
          <w:ilvl w:val="1"/>
          <w:numId w:val="1"/>
        </w:numPr>
      </w:pPr>
      <w:r w:rsidRPr="00BD413A">
        <w:t xml:space="preserve">Metric: </w:t>
      </w:r>
      <w:r w:rsidRPr="00BD413A">
        <w:rPr>
          <w:b/>
          <w:bCs/>
        </w:rPr>
        <w:t>mean squared error (MSE)</w:t>
      </w:r>
      <w:r w:rsidRPr="00BD413A">
        <w:t xml:space="preserve"> (not “Mean Square Error”). After first mention, use </w:t>
      </w:r>
      <w:r w:rsidRPr="00BD413A">
        <w:rPr>
          <w:b/>
          <w:bCs/>
        </w:rPr>
        <w:t>MSE</w:t>
      </w:r>
      <w:r w:rsidRPr="00BD413A">
        <w:t xml:space="preserve"> only. </w:t>
      </w:r>
    </w:p>
    <w:p w14:paraId="3F5755BB" w14:textId="77777777" w:rsidR="00BD413A" w:rsidRPr="00BD413A" w:rsidRDefault="00BD413A" w:rsidP="00BD413A">
      <w:pPr>
        <w:numPr>
          <w:ilvl w:val="1"/>
          <w:numId w:val="1"/>
        </w:numPr>
      </w:pPr>
      <w:r w:rsidRPr="00BD413A">
        <w:t xml:space="preserve">Approach: pick one of </w:t>
      </w:r>
      <w:r w:rsidRPr="00BD413A">
        <w:rPr>
          <w:b/>
          <w:bCs/>
        </w:rPr>
        <w:t>semantic-based</w:t>
      </w:r>
      <w:r w:rsidRPr="00BD413A">
        <w:t xml:space="preserve"> or </w:t>
      </w:r>
      <w:r w:rsidRPr="00BD413A">
        <w:rPr>
          <w:b/>
          <w:bCs/>
        </w:rPr>
        <w:t>semantics-based</w:t>
      </w:r>
      <w:r w:rsidRPr="00BD413A">
        <w:t xml:space="preserve"> (paper mixes both). I recommend </w:t>
      </w:r>
      <w:r w:rsidRPr="00BD413A">
        <w:rPr>
          <w:b/>
          <w:bCs/>
        </w:rPr>
        <w:t>semantic-based</w:t>
      </w:r>
      <w:r w:rsidRPr="00BD413A">
        <w:t xml:space="preserve">. </w:t>
      </w:r>
    </w:p>
    <w:p w14:paraId="1480C113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 xml:space="preserve">Fix inconsistent sample counts: earlier you say </w:t>
      </w:r>
      <w:r w:rsidRPr="00BD413A">
        <w:rPr>
          <w:b/>
          <w:bCs/>
        </w:rPr>
        <w:t>top 1,000 / bottom 1,000</w:t>
      </w:r>
      <w:r w:rsidRPr="00BD413A">
        <w:t xml:space="preserve"> images per case, later figures/paragraphs say </w:t>
      </w:r>
      <w:r w:rsidRPr="00BD413A">
        <w:rPr>
          <w:b/>
          <w:bCs/>
        </w:rPr>
        <w:t>Top/Bottom 3000</w:t>
      </w:r>
      <w:r w:rsidRPr="00BD413A">
        <w:t xml:space="preserve">. Make them match the actual pipeline and update all figure captions and text accordingly. </w:t>
      </w:r>
    </w:p>
    <w:p w14:paraId="2A7BBD16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 xml:space="preserve">Harmonise section/figure references and tense; avoid switching between past and present when describing results. </w:t>
      </w:r>
    </w:p>
    <w:p w14:paraId="6811BDE5" w14:textId="77777777" w:rsidR="00BD413A" w:rsidRPr="00BD413A" w:rsidRDefault="00BD413A" w:rsidP="00BD413A">
      <w:pPr>
        <w:numPr>
          <w:ilvl w:val="0"/>
          <w:numId w:val="1"/>
        </w:numPr>
      </w:pPr>
      <w:r w:rsidRPr="00BD413A">
        <w:t xml:space="preserve">Tables/names: use current place names and diacritics (e.g., </w:t>
      </w:r>
      <w:r w:rsidRPr="00BD413A">
        <w:rPr>
          <w:b/>
          <w:bCs/>
        </w:rPr>
        <w:t>Kyiv</w:t>
      </w:r>
      <w:r w:rsidRPr="00BD413A">
        <w:t xml:space="preserve"> not </w:t>
      </w:r>
      <w:r w:rsidRPr="00BD413A">
        <w:rPr>
          <w:i/>
          <w:iCs/>
        </w:rPr>
        <w:t>Kiev</w:t>
      </w:r>
      <w:r w:rsidRPr="00BD413A">
        <w:t xml:space="preserve">; </w:t>
      </w:r>
      <w:r w:rsidRPr="00BD413A">
        <w:rPr>
          <w:b/>
          <w:bCs/>
        </w:rPr>
        <w:t>São Paulo</w:t>
      </w:r>
      <w:r w:rsidRPr="00BD413A">
        <w:t xml:space="preserve">; </w:t>
      </w:r>
      <w:r w:rsidRPr="00BD413A">
        <w:rPr>
          <w:b/>
          <w:bCs/>
        </w:rPr>
        <w:t>Valparaíso</w:t>
      </w:r>
      <w:r w:rsidRPr="00BD413A">
        <w:t xml:space="preserve">). Consider “Hong Kong SAR, China”; use “United Kingdom” / “United States” rather than “UK/USA” for country column consistency. </w:t>
      </w:r>
    </w:p>
    <w:p w14:paraId="0BAEF048" w14:textId="77777777" w:rsidR="00BD413A" w:rsidRPr="00BD413A" w:rsidRDefault="00BD413A" w:rsidP="00BD413A">
      <w:pPr>
        <w:rPr>
          <w:b/>
          <w:bCs/>
        </w:rPr>
      </w:pPr>
      <w:r w:rsidRPr="00BD413A">
        <w:rPr>
          <w:b/>
          <w:bCs/>
        </w:rPr>
        <w:t>Targeted fixes (original → suggested)</w:t>
      </w:r>
    </w:p>
    <w:p w14:paraId="5144B7D2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Title: </w:t>
      </w:r>
      <w:r w:rsidRPr="00BD413A">
        <w:rPr>
          <w:b/>
          <w:bCs/>
        </w:rPr>
        <w:t>AI Meets Human-Urban Interaction: Accuracy Bias and Semantic Heterogeneity in GPT-4 for Global Urban Perception</w:t>
      </w:r>
      <w:r w:rsidRPr="00BD413A">
        <w:t xml:space="preserve"> → consider “AI Meets Urban Perception: Accuracy Bias and Semantic Heterogeneity in GPT-4” (clearer scope; optional). </w:t>
      </w:r>
    </w:p>
    <w:p w14:paraId="544CDFEF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Abstract: “their deployment raises concerns about inherent biases…” → “their deployment raises concerns about </w:t>
      </w:r>
      <w:r w:rsidRPr="00BD413A">
        <w:rPr>
          <w:b/>
          <w:bCs/>
        </w:rPr>
        <w:t>inherent</w:t>
      </w:r>
      <w:r w:rsidRPr="00BD413A">
        <w:t xml:space="preserve"> socioeconomic and geographic biases…” (tighten). Also ensure the Global North/South claim matches Section 3.3 (see note below). </w:t>
      </w:r>
    </w:p>
    <w:p w14:paraId="2437BC34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Intro: “…bias and fairness in their </w:t>
      </w:r>
      <w:proofErr w:type="gramStart"/>
      <w:r w:rsidRPr="00BD413A">
        <w:t>outputs(</w:t>
      </w:r>
      <w:proofErr w:type="spellStart"/>
      <w:proofErr w:type="gramEnd"/>
      <w:r w:rsidRPr="00BD413A">
        <w:t>Yogarajan</w:t>
      </w:r>
      <w:proofErr w:type="spellEnd"/>
      <w:r w:rsidRPr="00BD413A">
        <w:t xml:space="preserve"> et al., 2023; Atkins et al., 2024) and their understanding of semantic heterogeneity…” → add a space and </w:t>
      </w:r>
      <w:r w:rsidRPr="00BD413A">
        <w:lastRenderedPageBreak/>
        <w:t>parallel structure: “…bias and fairness in their outputs (</w:t>
      </w:r>
      <w:proofErr w:type="spellStart"/>
      <w:r w:rsidRPr="00BD413A">
        <w:t>Yogarajan</w:t>
      </w:r>
      <w:proofErr w:type="spellEnd"/>
      <w:r w:rsidRPr="00BD413A">
        <w:t xml:space="preserve"> et al., 2023; Atkins et al., 2024) and </w:t>
      </w:r>
      <w:r w:rsidRPr="00BD413A">
        <w:rPr>
          <w:b/>
          <w:bCs/>
        </w:rPr>
        <w:t>in</w:t>
      </w:r>
      <w:r w:rsidRPr="00BD413A">
        <w:t xml:space="preserve"> their understanding of semantic heterogeneity…” </w:t>
      </w:r>
    </w:p>
    <w:p w14:paraId="093BCB58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Intro: “heterogeneity reflected by these models can perpetuate inequalities…” → “heterogeneity </w:t>
      </w:r>
      <w:r w:rsidRPr="00BD413A">
        <w:rPr>
          <w:b/>
          <w:bCs/>
        </w:rPr>
        <w:t>in</w:t>
      </w:r>
      <w:r w:rsidRPr="00BD413A">
        <w:t xml:space="preserve"> these models can perpetuate inequalities…” (preposition). </w:t>
      </w:r>
    </w:p>
    <w:p w14:paraId="55F4A823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§2.1: “The Place Pulse 2.0 dataset … was utilized” → </w:t>
      </w:r>
      <w:r w:rsidRPr="00BD413A">
        <w:rPr>
          <w:b/>
          <w:bCs/>
        </w:rPr>
        <w:t>utilised</w:t>
      </w:r>
      <w:r w:rsidRPr="00BD413A">
        <w:t xml:space="preserve"> (British). Also remove hyphenation artifacts throughout this section. </w:t>
      </w:r>
    </w:p>
    <w:p w14:paraId="25E33742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§2.3: “under the definition from </w:t>
      </w:r>
      <w:r w:rsidRPr="00BD413A">
        <w:rPr>
          <w:b/>
          <w:bCs/>
        </w:rPr>
        <w:t xml:space="preserve">United </w:t>
      </w:r>
      <w:proofErr w:type="spellStart"/>
      <w:r w:rsidRPr="00BD413A">
        <w:rPr>
          <w:b/>
          <w:bCs/>
        </w:rPr>
        <w:t>NationsUnited</w:t>
      </w:r>
      <w:proofErr w:type="spellEnd"/>
      <w:r w:rsidRPr="00BD413A">
        <w:rPr>
          <w:b/>
          <w:bCs/>
        </w:rPr>
        <w:t xml:space="preserve"> Nations (2025)</w:t>
      </w:r>
      <w:r w:rsidRPr="00BD413A">
        <w:t xml:space="preserve">.” → “under the definition from the </w:t>
      </w:r>
      <w:r w:rsidRPr="00BD413A">
        <w:rPr>
          <w:b/>
          <w:bCs/>
        </w:rPr>
        <w:t>United Nations (2025)</w:t>
      </w:r>
      <w:r w:rsidRPr="00BD413A">
        <w:t xml:space="preserve">.” (duplicate removed; add “the”). </w:t>
      </w:r>
    </w:p>
    <w:p w14:paraId="18CBB213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>§2.4: “</w:t>
      </w:r>
      <w:r w:rsidRPr="00BD413A">
        <w:rPr>
          <w:b/>
          <w:bCs/>
        </w:rPr>
        <w:t xml:space="preserve">the </w:t>
      </w:r>
      <w:proofErr w:type="spellStart"/>
      <w:r w:rsidRPr="00BD413A">
        <w:rPr>
          <w:b/>
          <w:bCs/>
        </w:rPr>
        <w:t>the</w:t>
      </w:r>
      <w:proofErr w:type="spellEnd"/>
      <w:r w:rsidRPr="00BD413A">
        <w:t xml:space="preserve"> existence and sentiment” → “the existence and sentiment”. </w:t>
      </w:r>
    </w:p>
    <w:p w14:paraId="597B473C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§2.4: “boxplots were generated to </w:t>
      </w:r>
      <w:r w:rsidRPr="00BD413A">
        <w:rPr>
          <w:b/>
          <w:bCs/>
        </w:rPr>
        <w:t>visualize</w:t>
      </w:r>
      <w:r w:rsidRPr="00BD413A">
        <w:t xml:space="preserve">” → </w:t>
      </w:r>
      <w:r w:rsidRPr="00BD413A">
        <w:rPr>
          <w:b/>
          <w:bCs/>
        </w:rPr>
        <w:t>visualise</w:t>
      </w:r>
      <w:r w:rsidRPr="00BD413A">
        <w:t xml:space="preserve">. </w:t>
      </w:r>
    </w:p>
    <w:p w14:paraId="6968BBCF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>§3 (table caption): “</w:t>
      </w:r>
      <w:r w:rsidRPr="00BD413A">
        <w:rPr>
          <w:b/>
          <w:bCs/>
        </w:rPr>
        <w:t>Fine-tuned</w:t>
      </w:r>
      <w:r w:rsidRPr="00BD413A">
        <w:t xml:space="preserve"> BERT” → be consistent (either “fine-tuned” or “Fine-Tuned”, preferably lowercase unless starting a sentence). </w:t>
      </w:r>
    </w:p>
    <w:p w14:paraId="71F9ED6E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§3: “We </w:t>
      </w:r>
      <w:r w:rsidRPr="00BD413A">
        <w:rPr>
          <w:b/>
          <w:bCs/>
        </w:rPr>
        <w:t>charter</w:t>
      </w:r>
      <w:r w:rsidRPr="00BD413A">
        <w:t xml:space="preserve"> a new direction in AI’s bias evaluation” → “We </w:t>
      </w:r>
      <w:r w:rsidRPr="00BD413A">
        <w:rPr>
          <w:b/>
          <w:bCs/>
        </w:rPr>
        <w:t>chart</w:t>
      </w:r>
      <w:r w:rsidRPr="00BD413A">
        <w:t xml:space="preserve"> a new direction in AI bias evaluation”. </w:t>
      </w:r>
    </w:p>
    <w:p w14:paraId="1C16911F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§3.1 heading body: “two aspects (subsections) to evaluate bias - </w:t>
      </w:r>
      <w:r w:rsidRPr="00BD413A">
        <w:rPr>
          <w:b/>
          <w:bCs/>
        </w:rPr>
        <w:t>predication</w:t>
      </w:r>
      <w:r w:rsidRPr="00BD413A">
        <w:t xml:space="preserve"> accuracy and semantic analysis.” → “… to evaluate bias — </w:t>
      </w:r>
      <w:r w:rsidRPr="00BD413A">
        <w:rPr>
          <w:b/>
          <w:bCs/>
        </w:rPr>
        <w:t>prediction</w:t>
      </w:r>
      <w:r w:rsidRPr="00BD413A">
        <w:t xml:space="preserve"> accuracy and semantic analysis.” </w:t>
      </w:r>
    </w:p>
    <w:p w14:paraId="28CA04FD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§3.1.1: “English speaking cities” → </w:t>
      </w:r>
      <w:r w:rsidRPr="00BD413A">
        <w:rPr>
          <w:b/>
          <w:bCs/>
        </w:rPr>
        <w:t>English-speaking cities</w:t>
      </w:r>
      <w:r w:rsidRPr="00BD413A">
        <w:t xml:space="preserve"> (hyphenate; do this everywhere). </w:t>
      </w:r>
    </w:p>
    <w:p w14:paraId="692E36A0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§3.1.2 bullets + figs 4–9: Replace all </w:t>
      </w:r>
      <w:r w:rsidRPr="00BD413A">
        <w:rPr>
          <w:b/>
          <w:bCs/>
        </w:rPr>
        <w:t>“Top/Bottom 3000”</w:t>
      </w:r>
      <w:r w:rsidRPr="00BD413A">
        <w:t xml:space="preserve"> with </w:t>
      </w:r>
      <w:r w:rsidRPr="00BD413A">
        <w:rPr>
          <w:b/>
          <w:bCs/>
        </w:rPr>
        <w:t>“Top/Bottom 1,000”</w:t>
      </w:r>
      <w:r w:rsidRPr="00BD413A">
        <w:t xml:space="preserve"> (or change §2.4 to 3,000 if that’s what you actually used). Ensure figure captions and text align. </w:t>
      </w:r>
    </w:p>
    <w:p w14:paraId="2CF2745D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§3.2.1: “variable of </w:t>
      </w:r>
      <w:r w:rsidRPr="00BD413A">
        <w:rPr>
          <w:b/>
          <w:bCs/>
        </w:rPr>
        <w:t>‘Depressing’</w:t>
      </w:r>
      <w:r w:rsidRPr="00BD413A">
        <w:t xml:space="preserve">” → </w:t>
      </w:r>
      <w:r w:rsidRPr="00BD413A">
        <w:rPr>
          <w:b/>
          <w:bCs/>
        </w:rPr>
        <w:t>“Depression”</w:t>
      </w:r>
      <w:r w:rsidRPr="00BD413A">
        <w:t xml:space="preserve"> (match variable list). </w:t>
      </w:r>
    </w:p>
    <w:p w14:paraId="6C66DE43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§3.3.1: Consider clarifying summary: your text currently implies general superiority in the </w:t>
      </w:r>
      <w:r w:rsidRPr="00BD413A">
        <w:rPr>
          <w:b/>
          <w:bCs/>
        </w:rPr>
        <w:t>Global South</w:t>
      </w:r>
      <w:r w:rsidRPr="00BD413A">
        <w:t xml:space="preserve">, but the figure/text say </w:t>
      </w:r>
      <w:r w:rsidRPr="00BD413A">
        <w:rPr>
          <w:b/>
          <w:bCs/>
        </w:rPr>
        <w:t>Beauty and Safety</w:t>
      </w:r>
      <w:r w:rsidRPr="00BD413A">
        <w:t xml:space="preserve"> are better in the </w:t>
      </w:r>
      <w:r w:rsidRPr="00BD413A">
        <w:rPr>
          <w:b/>
          <w:bCs/>
        </w:rPr>
        <w:t>Global North</w:t>
      </w:r>
      <w:r w:rsidRPr="00BD413A">
        <w:t xml:space="preserve">, while the other four variables are better in the </w:t>
      </w:r>
      <w:r w:rsidRPr="00BD413A">
        <w:rPr>
          <w:b/>
          <w:bCs/>
        </w:rPr>
        <w:t>Global South</w:t>
      </w:r>
      <w:r w:rsidRPr="00BD413A">
        <w:t xml:space="preserve">. Make this explicit here </w:t>
      </w:r>
      <w:r w:rsidRPr="00BD413A">
        <w:rPr>
          <w:i/>
          <w:iCs/>
        </w:rPr>
        <w:t>and</w:t>
      </w:r>
      <w:r w:rsidRPr="00BD413A">
        <w:t xml:space="preserve"> in the abstract for consistency. </w:t>
      </w:r>
    </w:p>
    <w:p w14:paraId="41699F4F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§4 Conclusions: “for </w:t>
      </w:r>
      <w:proofErr w:type="gramStart"/>
      <w:r w:rsidRPr="00BD413A">
        <w:t>this two variables</w:t>
      </w:r>
      <w:proofErr w:type="gramEnd"/>
      <w:r w:rsidRPr="00BD413A">
        <w:t xml:space="preserve">” → “for </w:t>
      </w:r>
      <w:r w:rsidRPr="00BD413A">
        <w:rPr>
          <w:b/>
          <w:bCs/>
        </w:rPr>
        <w:t>these</w:t>
      </w:r>
      <w:r w:rsidRPr="00BD413A">
        <w:t xml:space="preserve"> two variables”. </w:t>
      </w:r>
    </w:p>
    <w:p w14:paraId="0C1173FE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>§4.2 Future Directions: “</w:t>
      </w:r>
      <w:proofErr w:type="gramStart"/>
      <w:r w:rsidRPr="00BD413A">
        <w:rPr>
          <w:b/>
          <w:bCs/>
        </w:rPr>
        <w:t>more finer</w:t>
      </w:r>
      <w:proofErr w:type="gramEnd"/>
      <w:r w:rsidRPr="00BD413A">
        <w:rPr>
          <w:b/>
          <w:bCs/>
        </w:rPr>
        <w:t>-grained</w:t>
      </w:r>
      <w:r w:rsidRPr="00BD413A">
        <w:t xml:space="preserve"> scales” → </w:t>
      </w:r>
      <w:r w:rsidRPr="00BD413A">
        <w:rPr>
          <w:b/>
          <w:bCs/>
        </w:rPr>
        <w:t>finer-grained</w:t>
      </w:r>
      <w:r w:rsidRPr="00BD413A">
        <w:t xml:space="preserve">; “western-Europe vs. eastern-Europe” → </w:t>
      </w:r>
      <w:r w:rsidRPr="00BD413A">
        <w:rPr>
          <w:b/>
          <w:bCs/>
        </w:rPr>
        <w:t>Western Europe vs. Eastern Europe</w:t>
      </w:r>
      <w:r w:rsidRPr="00BD413A">
        <w:t xml:space="preserve">. </w:t>
      </w:r>
    </w:p>
    <w:p w14:paraId="149B8608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 xml:space="preserve">Data Availability: add terminal full stop after the GitHub URL and consider a release tag/DOI (e.g., </w:t>
      </w:r>
      <w:proofErr w:type="spellStart"/>
      <w:r w:rsidRPr="00BD413A">
        <w:t>Zenodo</w:t>
      </w:r>
      <w:proofErr w:type="spellEnd"/>
      <w:r w:rsidRPr="00BD413A">
        <w:t xml:space="preserve">) for </w:t>
      </w:r>
      <w:proofErr w:type="spellStart"/>
      <w:r w:rsidRPr="00BD413A">
        <w:t>citability</w:t>
      </w:r>
      <w:proofErr w:type="spellEnd"/>
      <w:r w:rsidRPr="00BD413A">
        <w:t xml:space="preserve">. </w:t>
      </w:r>
    </w:p>
    <w:p w14:paraId="2D71A192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lastRenderedPageBreak/>
        <w:t>Appendix Table A1 headers: “</w:t>
      </w:r>
      <w:r w:rsidRPr="00BD413A">
        <w:rPr>
          <w:b/>
          <w:bCs/>
        </w:rPr>
        <w:t>Is Developing Country City</w:t>
      </w:r>
      <w:r w:rsidRPr="00BD413A">
        <w:t>” → “</w:t>
      </w:r>
      <w:r w:rsidRPr="00BD413A">
        <w:rPr>
          <w:b/>
          <w:bCs/>
        </w:rPr>
        <w:t>Developing country?</w:t>
      </w:r>
      <w:r w:rsidRPr="00BD413A">
        <w:t>”; “</w:t>
      </w:r>
      <w:r w:rsidRPr="00BD413A">
        <w:rPr>
          <w:b/>
          <w:bCs/>
        </w:rPr>
        <w:t>Is Northern Hemisphere City</w:t>
      </w:r>
      <w:r w:rsidRPr="00BD413A">
        <w:t>” → “</w:t>
      </w:r>
      <w:r w:rsidRPr="00BD413A">
        <w:rPr>
          <w:b/>
          <w:bCs/>
        </w:rPr>
        <w:t>Northern hemisphere?</w:t>
      </w:r>
      <w:r w:rsidRPr="00BD413A">
        <w:t xml:space="preserve">”. Update place names (Kyiv, São Paulo, Valparaíso, Hong Kong SAR, China; “Glasgow, United Kingdom”, etc.). </w:t>
      </w:r>
    </w:p>
    <w:p w14:paraId="7B502E82" w14:textId="77777777" w:rsidR="00BD413A" w:rsidRPr="00BD413A" w:rsidRDefault="00BD413A" w:rsidP="00BD413A">
      <w:pPr>
        <w:numPr>
          <w:ilvl w:val="0"/>
          <w:numId w:val="2"/>
        </w:numPr>
      </w:pPr>
      <w:r w:rsidRPr="00BD413A">
        <w:t>“Declaration of Generative AI in writing” → “</w:t>
      </w:r>
      <w:r w:rsidRPr="00BD413A">
        <w:rPr>
          <w:b/>
          <w:bCs/>
        </w:rPr>
        <w:t>Declaration of generative AI use</w:t>
      </w:r>
      <w:r w:rsidRPr="00BD413A">
        <w:t xml:space="preserve">” (title case and phrasing). </w:t>
      </w:r>
    </w:p>
    <w:p w14:paraId="4E153493" w14:textId="77777777" w:rsidR="00BD413A" w:rsidRPr="00BD413A" w:rsidRDefault="00BD413A" w:rsidP="00BD413A">
      <w:pPr>
        <w:rPr>
          <w:b/>
          <w:bCs/>
        </w:rPr>
      </w:pPr>
      <w:r w:rsidRPr="00BD413A">
        <w:rPr>
          <w:b/>
          <w:bCs/>
        </w:rPr>
        <w:t>Polished abstract (drop-in replacement)</w:t>
      </w:r>
    </w:p>
    <w:p w14:paraId="1E8ED547" w14:textId="225DC0E8" w:rsidR="00BD413A" w:rsidRPr="00BD413A" w:rsidRDefault="00BD413A" w:rsidP="00740DEB">
      <w:pPr>
        <w:jc w:val="both"/>
        <w:rPr>
          <w:rFonts w:hint="eastAsia"/>
        </w:rPr>
      </w:pPr>
      <w:r w:rsidRPr="00BD413A">
        <w:t>Generative AI</w:t>
      </w:r>
      <w:r>
        <w:rPr>
          <w:rFonts w:hint="eastAsia"/>
        </w:rPr>
        <w:t xml:space="preserve">, </w:t>
      </w:r>
      <w:r w:rsidRPr="00BD413A">
        <w:t>especially large language models (LLMs) such as GPT-4</w:t>
      </w:r>
      <w:r>
        <w:rPr>
          <w:rFonts w:hint="eastAsia"/>
        </w:rPr>
        <w:t xml:space="preserve">, </w:t>
      </w:r>
      <w:r w:rsidRPr="00BD413A">
        <w:t>has opened new avenues for urban studies by enabling effective multimodal interpretation of street-level scenes. Yet</w:t>
      </w:r>
      <w:r>
        <w:rPr>
          <w:rFonts w:hint="eastAsia"/>
        </w:rPr>
        <w:t>,</w:t>
      </w:r>
      <w:r w:rsidRPr="00BD413A">
        <w:t xml:space="preserve"> their deployment raises concerns about socioeconomic and geographic biases and about models’ understanding of semantic heterogeneity across cities. We introduce an analytical framework that integrates street-view images with tailored prompts to assess GPT-4’s urban perception across six variables (Beauty, Boringness, Depression, Liveliness, Safety, Wealthiness). We propose a three-dimension classification (social: English</w:t>
      </w:r>
      <w:r>
        <w:rPr>
          <w:rFonts w:hint="eastAsia"/>
        </w:rPr>
        <w:t>-</w:t>
      </w:r>
      <w:r w:rsidRPr="00BD413A">
        <w:t xml:space="preserve"> vs non-English-speaking; economic: developed vs developing; geographic: Global North vs Global South) and evaluate bias in two complementary ways: prediction accuracy (MSE between human-rated and model scores) and semantic analysis (existence and sentiment of high-frequency terms in generated descriptions). GPT-4 achieves strong zero-shot performance overall and exhibits systematic context effects: in the social and economic dimensions</w:t>
      </w:r>
      <w:r>
        <w:rPr>
          <w:rFonts w:hint="eastAsia"/>
        </w:rPr>
        <w:t>,</w:t>
      </w:r>
      <w:r w:rsidRPr="00BD413A">
        <w:t xml:space="preserve"> it is generally more accurate for English-speaking and developing cities; in the geographic dimension</w:t>
      </w:r>
      <w:r>
        <w:rPr>
          <w:rFonts w:hint="eastAsia"/>
        </w:rPr>
        <w:t>,</w:t>
      </w:r>
      <w:r w:rsidRPr="00BD413A">
        <w:t xml:space="preserve"> it performs better in the Global North for Beauty and Safety but better in the Global South for Boringness, Depression, Liveliness, and Wealthiness. The semantic analysis reveals context-dependent cues</w:t>
      </w:r>
      <w:r w:rsidR="002951AF">
        <w:rPr>
          <w:rFonts w:hint="eastAsia"/>
        </w:rPr>
        <w:t xml:space="preserve"> (</w:t>
      </w:r>
      <w:r w:rsidRPr="00BD413A">
        <w:t>e.g., greenery for beauty, human presence for liveliness, holistic “area/environment” terms for safety</w:t>
      </w:r>
      <w:r w:rsidR="002951AF">
        <w:rPr>
          <w:rFonts w:hint="eastAsia"/>
        </w:rPr>
        <w:t xml:space="preserve">) </w:t>
      </w:r>
      <w:r w:rsidRPr="00BD413A">
        <w:t>and how their sentiment aligns with perceived scores. Our semantics-based evaluation complements traditional vision-based approaches and offers actionable guidance for fairer, more inclusive GeoAI, including balanced data curation and prompt design.</w:t>
      </w:r>
      <w:r>
        <w:rPr>
          <w:rFonts w:hint="eastAsia"/>
        </w:rPr>
        <w:t xml:space="preserve"> </w:t>
      </w:r>
    </w:p>
    <w:p w14:paraId="015FA2B5" w14:textId="77777777" w:rsidR="00A36149" w:rsidRDefault="00A36149"/>
    <w:sectPr w:rsidR="00A3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469"/>
    <w:multiLevelType w:val="multilevel"/>
    <w:tmpl w:val="EE6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A6EC9"/>
    <w:multiLevelType w:val="multilevel"/>
    <w:tmpl w:val="D0D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884536">
    <w:abstractNumId w:val="1"/>
  </w:num>
  <w:num w:numId="2" w16cid:durableId="114682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3A"/>
    <w:rsid w:val="00226E1D"/>
    <w:rsid w:val="002951AF"/>
    <w:rsid w:val="00433C27"/>
    <w:rsid w:val="004A0D68"/>
    <w:rsid w:val="00740DEB"/>
    <w:rsid w:val="00894B20"/>
    <w:rsid w:val="00A36149"/>
    <w:rsid w:val="00BD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58EDE"/>
  <w15:chartTrackingRefBased/>
  <w15:docId w15:val="{A95B36AE-D3DE-9B41-A4E3-55A2673A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Meiliu Wu</dc:creator>
  <cp:keywords/>
  <dc:description/>
  <cp:lastModifiedBy>Meiliu Wu</cp:lastModifiedBy>
  <cp:revision>5</cp:revision>
  <dcterms:created xsi:type="dcterms:W3CDTF">2025-08-30T00:15:00Z</dcterms:created>
  <dcterms:modified xsi:type="dcterms:W3CDTF">2025-08-30T00:17:00Z</dcterms:modified>
</cp:coreProperties>
</file>