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DR. FERRO FIRDAUS IBRAHIM</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38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T23235</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HOSPITAL DIRECTOR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HOSPITAL PAPAR</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2022 - 107</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2021 - 94.87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2020 - 94.53</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2019 - 94.03</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Is an honor to become a part of a prestige’s team that can assist me to learn and adapt to ever changing technologies and environments. Not everyone has the same aspirations in life and career; within organisations not everyone will be team leaders or managers. TGP is a great program to drive me onto the next level in my professional career as a Hospital Administrator, and I believe I can improve my interpersonal, working and interacting skills with individuals from many different backgrounds.  In 5 years from now, I see myself in a position where I have progressed up the career ladder, feel fulfilled, and am making a meaningful contribution to the Ministry of Health. A role that continues to challenge me and able to provides me opportunities to grow my management skill. I hope I can contribute in any research project that aim to improve our healthcare services especially in government hospital. Research is the best way to increase our service quality as it will help to identify new and better ways in any solving solution plus it provide us a valuable information.</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Mempunyai keyakinan dengan kebolehan diri. Cenderung menilai sesuatu perkara atau situasi secara negatif. Mementingkan hubungan interpersonal dan suka berinteraksi secara sosial dengan orang lain. Boleh menyuarakan idea, pendapat dan perasaan dengan jelas. Seorang yang sangat baik hati, memahami, penyayang dan prihatin. Cenderung mengambil tindakan atau keputusan berdasarkan kepada perasaan yang dialami. Sangat suka kepada persaingan,sangat tegas dan teliti dalam kehidupan seharian. Agak sukar mendengar atau menerima pandangan orang lain. Seorang yang sangat sistematik, teratur, mematuhi peraturan dan menitikberatkan kesempurnaan. Kebolehpercayaan menjawab: Diterima (Boleh diterima)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PLANNING AND STRATEGIC MANAGEMENT - Employee Burnout and Personnel Shortages Pre and Post Covid -19 Pandemic in MOH</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90.0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93.4</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4</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84.0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86.0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95.0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4</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88.0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89.5</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90.0%</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92.5%</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86.0%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93.4%</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87.5%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&amp; can be groom as leader</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