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MUHAMAD AZRIN BIN OMAR @ NAWI</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44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T23237</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DEPUTY DIRECTOR (MEDICAL II)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INSTITUT KANSER NEGARA</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2022 - 113</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2021 - 95.37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2020 - 93.13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2019 - 90.03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2018 - 96.03</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spent a large share of my time outside working hours being actively involved in non-governmental organisations (NGO) and their activities. Although I am contented with my involvement in the NGOs and gained considerable amount of experiences and knowledge, comparatively I feel like there are nothing much that I can be proud of when I look at my contributions within KKM.  </w:t>
              <w:br/>
              <w:t>
</w:t>
              <w:br/>
              <w:t>
Now that I had progressively given opportunities to assume leadership role in KKM, I believe I need to upgrade myself in knowledge and character building. I see TGP as a reliable platform for me to do that, while proving to myself that I can get better and achieve what it takes to lead people and organisations in KKM. I expect TGP to be a medium where I can learn from the experts and colleagues with diverse forms of skills and talents.  </w:t>
              <w:br/>
              <w:t>
</w:t>
              <w:br/>
              <w:t>
I am hopeful that 5 years from now, I’ll take up one of the strategic leadership posts in KKM where I can contribute significantly for the betterment of KKM and the community at large.</w:t>
              <w:br/>
              <w:t>
</w:t>
              <w:br/>
              <w:t>
I wished to do a project on risk management approach in business continuity planning. I have the impression that in many KKM facilities, risk management is not taken seriously, and the awareness related to it is rather low. I hope that I can objectively assess the situation and perhaps be proven wrong. If it is the other way around, then it would be a good opportunity for KKM to make progress in this area.</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Cenderung berasa bimbang terhadap perkara yang kurang penting dan kurang keyakinan dengan kebolehan diri. Bersikap pesimistik dan cenderung menjadi 'moody' terutama jika idea tidak diterima. Seorang yang sangat aktif, cergas dan bertenaga dalam menjalani kehidupan seharian. Sangat mementingkan hubungan interpersonal dan suka berinteraksi secara sosial. Sukar untuk mempercayai orang lain. Seorang yang sangat baik hati, memahami, penyayang dan prihatin kepada keperluan orang lain dan berfikiran rasional, munasabah, adil serta logikal apabila membuat keputusan walaupun mengalami tekanan emosi. Seorang yang kurang tegas namun penyabar, bertimbang rasa, berperikemanusiaan dan bertolak ansur. Seorang yang sangat sistematik, teratur, mematuhi peraturan dan menitikberatkan kesempurnaan dalam hasilan kerja.</w:t>
              <w:br/>
              <w:t>
Kebolehpercayaan menjawab: Diragui (Tinggi).</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Risk Management - Risk Management Approach to Business Continuity Planning in KKM Healthcare Facilities : Current Status and The Way Forward</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66.7</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83.3</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72.0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84.0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75.0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84.5</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90.0%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84.0%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83.3%</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85.0%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&amp; Very active person and have good charisma. Potential to be a leader.</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