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SITI AISYAH SALAHUDIN</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35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T23240</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TIMBALAN PENGARAH (PERUBATAN) 3 UD 52</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HOSPITAL SEBERANG JAYA</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2021 - 69</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2021 - 94.67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2020 - 93.62</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2019 - 94.13</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In my opinion, TGP is a structured program provides both important opportunities for me which are leadership knowledge and skill as well as networking platform. Working in hospital organization, the knowledge and skill to lead and ensure team works together towards same vision are crucial. On top of that, TGP would be a great platform to connect and engage with other officers in this same Ministry of Health. Sharing the best practice, brainstorming issues and solution would sharpen my skills and enrich ideas toward better leadership practices in my workplace. In working, I am objective person who prioritizes the process and outcomes. Leading team in my current organization improves my communication skill especially in convincing team and ensuring the mission set accomplished. In five years, I see myself as a technical healthcare professional in Ministry of Health equipped with knowledge and skills to lead and practices evidence-based management who aspire to train and coach team to be in the same boat achieving vision and mission of Ministry of Health. The theme of my TGP project in Lean healthcare because by improving work processes, many issues can be solved.</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Cenderung berasa bimbang terhadap perkara yang kurang penting dan kurang keyakinan dengan kebolehan diri. Suka kepada perkara yang baik dan positif serta cenderung menilai sesuatu perkara secara optimistik. Sangat mementingkan hubungan interpersonal dan suka berinteraksi secara sosial. Seorang yang sangat suka berterus terang dan bersikap terbuka dalam meluahkan idea dan perasaan apabila berinteraksi. Seorang yang sangat mudah bersimpati dan prihatin dan berfikiran rasional, munasabah, adil serta logikal apabila membuat keputusan walaupun mengalami tekanan emosi. Kurang bertimbang rasa, kurang munasabah, kurang toleransi. Seorang yang sistematik, teratur, mematuhi peraturan dan menitikberatkan kesempurnaan dalam hasilan kerja.</w:t>
              <w:br/>
              <w:t>
Kebolehpercayaan menjawab:  Diterima (Boleh diterima).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HOSPITAL MANAGEMENT - LEAN HEALTHCARE</w: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OCCUPATIONAL SAFETY - OCCUPATIONAL AND ENVIRONMENTAL SAFETY IN HOSPITAL</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86.7</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84.0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97.0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4</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85.0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84.0%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86.7%</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have potential as a leader. Active and good personality.</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