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DENESH MENON</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39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T23241</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MEDICAL OFFICER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UNIT PENGURUSAN KUALITI</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2021 - 97</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2020 - 20</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2019 - 20</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2019 - 20</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2021 - 86.10</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2020 - 88.43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2019 - 92.87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2018 - 93.87</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The TGP competency domains and training pedagogy provide a structured, multi-modular framework to assist talents in realizing their full potential and preparing for greater levels of responsibility.</w:t>
              <w:br/>
              <w:t>
My fortitude and adaptability to changes in my environment are my greatest assets. As a deputy in the Quality Assurance Unit, I am able to communicate and build relationships both internally and externally through various committees. I am confident that, with the right guidance, I will be an asset to the organization.</w:t>
              <w:br/>
              <w:t>
Through TGP, I hope to be able to get cross-functional experience, acquire emotional intelligence, and continuously improve my environment. Develop a diverse network in order to comprehend various degrees of organizational and leadership skills.</w:t>
              <w:br/>
              <w:t>
Within the next five years, I hope to complete the Master of Community Health Science (Hospital Management and Health Science) at UKM and apply for a fellowship through ISQUA's South East Asia Joint Fellowship Program.</w:t>
              <w:br/>
              <w:t>
After completion, I would like to apply the knowledge that I have gained, by continuously improving my leadership skills and transition into a managerial role that allows me to use my problem-solving skills to develop better strategies for the organization</w:t>
              <w:br/>
              <w:t>
My TGP project proposal would be to conduct a retrospective study on the characteristics of in-patient falls in a Kuala Lumpur hospital. In this study, we will look at which areas of healthcare (medical, surgical, or allied) are prone to falls. The objectives of this study are to examine the roles and obligations of stakeholders in the prevention of falls.</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yang tinggi dengan kebolehan diri dan selalu memberi tumpuan terhadap isu semasa. Suka kepada perkara yang baik dan positif serta cenderung menilai sesuatu perkara atau situasi secara optimistik. Mementingkan hubungan interpersonal dan suka berinteraksi secara sosial. Sangat suka berterus terang dan bersikap terbuka. Prihatin terhadap keperluan orang lain. Membuat keputusan secara rasional tanpa mengikut emosi. Sikap dominan yang tinggi boleh mendorong mengawal atau memberi arahan kepada orang lain secara keterlaluan. Bertoleransi, boleh bekerjasama, sistematik, teratur, mematuhi peraturan dan menitikberatkan kesempurnaan dalam hasilan kerja.</w:t>
              <w:br/>
              <w:t>
Kebolehpercayaan menjawab: Diragui (Rendah),</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Patient Safety and Healthcare Quality - Retrospective Study on the Characteristic of In Patient Fall In Hospital Kuala Lumpur</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73.3</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84.0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76.0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84.0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77.5%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92.5%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84.0%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&amp; Can be groom. Good personality.</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