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GUNENTHIRA RAO SUBBARAO</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41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T23242</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KETUA PENOLONG PENGARAH KANAN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BAHAGIAN PERKEMBANGAN PERUBATAN, KEMENTERIAN KESIHATAN MALAYSIA</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2022 - 36</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2021 - 138</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2020 - 127</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2022 - 94.53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2021 - 94.37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2020 - 94.37</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In the current healthcare landscape with emerging and re-emerging diseases, healthcare leaders must always be ready to face challenges and lead the organization during any crisis. I see TGP as a platform to enhance my leadership skills through the systematic grooming program that is offered. I wanted to join this TGP because I wanted to be part of the TGP fraternity that contributed impactfully to the delivery of healthcare services in the country.</w:t>
              <w:br/>
              <w:t>
TGP should select me because I'm experienced, motivated, proactive, skillful and positive leader that will strive hard to complete the TGP within the stipulated duration. I’m willing to put effort and work hard to ensure attend compulsory courses, complete the project, and fulfill the training requirement.</w:t>
              <w:br/>
              <w:t>
I’m looking forward for broad exposure and learning opportunities from experts with different backgrounds in TGP. This embraces leadership competencies that embraces the domains of governance, organizational, professional ethics, personal values, and many others.</w:t>
              <w:br/>
              <w:t>
I hope that I am selected into TGP and become an Alumni in 5 years’ time. I see myself having transformed into a motivated and potential leader with good leadership qualities that leads an important division in MOH with higher responsibilities.</w:t>
              <w:br/>
              <w:t>
My proposed TGP project would be a study on Malaysian Public Hospital Preparedness during COVID-19. This is important because Malaysia’s experience in dealing with the Covid-19 pandemic needs to be institutionalized to ensure that the MOH is ready and better prepared should another pandemic emerge in the future.</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dan boleh memberi tumpuan terhadap isu semasa. Sangat suka kepada perkara yangpositif serta cenderung menilai sesuatu perkara atau situasi secara optimistik. Sangat mementingkan hubungan interpersonal dan suka berinteraksi secara sosial. Sangat suka berterus terang dan bersikap terbuka dalam meluahkan idea, pendapat dan perasaan apabila berinteraksi. Sangat baik hati, memahami, penyayang dan prihatin. Mampu berfikir dan membuat keputusan secara rasional. Penyabar, bertimbang rasa, berperikemanusiaan dan bertolak ansur. Sangat sistematik, teratur, mematuhi peraturan dan menitikberatkan kesempurnaan dalam hasilan kerja.</w:t>
              <w:br/>
              <w:t>
Kebolehpercayaan menjawab: Diragui (Rendah).</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Medical - Malaysian Public Hospital Preparedness During COVID-19 Pandemic</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93.3</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100.0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100.0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97.0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4</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86.5</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90.0%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80.0%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90.0%</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Able to cope with tasks, good personality, responsible and have potential to be leader.</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