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MOHD KHAIRUL IKHWAN BIN MOHD NIZAM</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39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T23244</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PUBLIC HEALTH</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KLINIK KESIHATAN SUNGAI RAMBAI UD 52</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PEJABAT KESIHATAN DAERAH JASIN, MELAKA</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2022 - 56</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2021 - 50</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2020 - 28</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2022 - 94.47</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2021 - 91.57</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2020 - 90.30</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Since 2019, I have been appointed to a leadership role and have taken charge of a klinik kesihatan. Through pandemic era when we all have to serve beyond the norms, I realised that I need certain skills and knowledge to be an effective leader. I started reading numerous leadership books, attending several leadership courses and seminars, where I eventually discovered TGP. I consulted my HOD who is a cohort 3 TGP alumni and got very positive feedback and encouraged me to apply for the course.</w:t>
              <w:br/>
              <w:t>
TGP should choose me because I need such a programme to guide and strengthen my leadership and governance ability, to assist me in carrying out my work within my capacity. My personal vision to improve healthcare system via effective leadership aligns with TGP objective. I am driven, focused, and self-motivated to excel at work. This is demonstrated by my recent APC award (2021) and Pingat Jasa Cemerlang by Kerajaan Negeri Melaka (2022) for my contribution during the epidemic era.</w:t>
              <w:br/>
              <w:t>
I expect to be mentored through the leadership process and to be provided with honest feedback of my performance as well as instruction on the qualities I need to work on to be a better leader.</w:t>
              <w:br/>
              <w:t>
I foresee myself taking more strategic post within MOH, with more challenging roles and responsibilities at PKD, JKN or KKM level. I believe it is my responsibility as future generation to take up the challenge to bring forward our healthcare system in the future.</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Mempunyai keyakinan dengan kebolehan diri dan memberi tumpuan terhadap isu semasa. Suka kepada perkara positif dan cenderung menilai sesuatu perkara secara optimistik. Sangat mementingkan hubungan interpersonal dan suka berinteraksi secara sosial. Seorang yang sangat aktif, dan cergas. Sangat suka bersikap terbuka dalam meluahkan idea apabila berinteraksi. Sangat mudah bersimpati, berfikiran rasional, munasabah, adil serta logikal apabila membuat keputusan. Sangat berkeyakinan tinggi, bersikap sangat asertif, sangat suka kepada persaingan, sangat tegas dan teliti. Kurang bertimbang rasa, kurang munasabah, kurang toleransi kepada kelemahan orang lain. Seorang yang sangat sistematik, teratur, mematuhi peraturan dan menitikberatkan kesempurnaan dalam hasilan kerja.</w:t>
              <w:br/>
              <w:t>
Kebolehpercayaan menjawab:  Diterima (Boleh diterima).</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PUBLIC HEALTH - Perception study amongst rural area community contributing in bad health seeking behavior</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66.7</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86.7</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68.0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78.0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73.0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3</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85.0</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87.5%</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87.5%</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78.0%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86.7%</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87.5%</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i. One of the 5 talents identified and fulfil the selection criteria. From his CV, he is highly involved with various program and highly recommended by his referees. Experience as a talent would be very valuable for him.</w:t>
              <w:br/>
              <w:t>
ii. Competency assessment revealed that the candidates can be groomed in leadership and managerial skill. Good ARS scoring. Has good vision in future leadership and governance. Good review by the referee. Personality test scored well. Good candidate for TGP.</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