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DR LEE SOO CHENG</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42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T23245</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PUBLIC HEALTH</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PUBLIC HEALTH PHYSICIAN UD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PETALING DISTRICT HEALTH OFFICER</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2022 - 149</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2021 - 202</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2021 - 95.42</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2020 - 94.27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2019 - 93.37</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 want to join TGP because it might help me to communicate effectively with people of all ages, backgrounds, customs, and cultures. I hope this program will also improve my skills to earn trust, build a rapport and motivate teams to achieve more. I belief effective leadership courses focus on training leaders on how to build great teams. </w:t>
              <w:br/>
              <w:t>
</w:t>
              <w:br/>
              <w:t>
I think TGP should select me because good learner, self motivation, honest and hardworking are my strengths and when I am going to put efforts with these strengths then it would be very efficient and productive contribution for the program. I always try to take new challenges to enhance my skills and knowledge.</w:t>
              <w:br/>
              <w:t>
</w:t>
              <w:br/>
              <w:t>
I expect to be a leader with a clear purpose and direction can motivate their team to upskill and perform better.</w:t>
              <w:br/>
              <w:t>
</w:t>
              <w:br/>
              <w:t>
In five years, I would love to be a leader that others can come to for ideas, help and strategy. I'd like to be able to provide similar guidance, potentially taking on a leadership role.</w:t>
              <w:br/>
              <w:t>
</w:t>
              <w:br/>
              <w:t>
My proposed TGP project would be the Tuberculosis poor treatment outcomes and its determinants in Petaling District: a retrospective cohort study from 2016 to 2021. This is because identifying possible barriers to TB treatments adherence is important in designing targeted intervention for the improvement of TB treatment outcome.</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dengan kebolehan diri dan memberi tumpuan terhadap isu semasa. Ceria dan gembira, bersikap optimistik dan menghargai kehidupan sedia ada. Seorang yang sangat pendiam, kurang berinteraksi secara sosial dan suka kepada kehidupan yang tenang. Seorang yang suka memendam perasaan. Tidak memberi perhatian, tidak mengambil endah dan tidak menitikberatkan hubungan interpersonal dengan orang lain namun sangat rasional, munasabah, berfikiran logikal dan bersikap adil apabila membuat keputusan. Kurang tegas dan kurang yakin pada kebolehan diri dan kurang toleransi kepada kelemahan orang lain. Seorang yang sangat sistematik, teratur, mematuhi peraturan dan menitikberatkan kesempurnaan dalam hasilan kerja.</w:t>
              <w:br/>
              <w:t>
Kebolehpercayaan menjawab:  Diterima (Boleh diterima).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Human Resource Management - Strategic Human Resources Management in Government: Unresolved Issues</w: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Human Resource Management - Efficient and effective human resource management</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82.5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86.7</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88.0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60.0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2</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85.5</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82.5%</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85.0%</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88.0%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86.7%</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85.0%</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i. Fulfil most of the selection criteria and ranked highest.</w:t>
              <w:br/>
              <w:t>
ii. There is a room for improvement under competency assessment if given training. ARS score is 17, which lack in managerial and leadership and has potential to improve. Have good research experience. Good review from the referees. TGP program might help her improve her personality especially being more emphatic and being more active social.</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